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numPr>
          <w:numId w:val="0"/>
        </w:numPr>
        <w:snapToGrid w:val="0"/>
        <w:spacing w:before="0" w:beforeAutospacing="0" w:after="0" w:afterAutospacing="0" w:line="500" w:lineRule="atLeast"/>
        <w:jc w:val="center"/>
        <w:outlineLvl w:val="0"/>
        <w:rPr>
          <w:rFonts w:hint="eastAsia" w:ascii="仿宋" w:hAnsi="仿宋" w:eastAsia="仿宋" w:cs="仿宋"/>
          <w:b/>
          <w:color w:val="auto"/>
          <w:kern w:val="2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color w:val="auto"/>
          <w:kern w:val="2"/>
          <w:sz w:val="36"/>
          <w:szCs w:val="36"/>
          <w:lang w:eastAsia="zh-CN"/>
        </w:rPr>
        <w:t>浙江衢州水业集团有限公司车辆采购项目</w:t>
      </w:r>
    </w:p>
    <w:p>
      <w:pPr>
        <w:pStyle w:val="3"/>
        <w:widowControl w:val="0"/>
        <w:numPr>
          <w:numId w:val="0"/>
        </w:numPr>
        <w:snapToGrid w:val="0"/>
        <w:spacing w:before="0" w:beforeAutospacing="0" w:after="0" w:afterAutospacing="0" w:line="500" w:lineRule="atLeast"/>
        <w:jc w:val="center"/>
        <w:outlineLvl w:val="0"/>
        <w:rPr>
          <w:rFonts w:hint="eastAsia" w:ascii="仿宋" w:hAnsi="仿宋" w:eastAsia="仿宋" w:cs="仿宋"/>
          <w:color w:val="auto"/>
          <w:sz w:val="36"/>
          <w:szCs w:val="36"/>
          <w:lang w:val="zh-CN"/>
        </w:rPr>
      </w:pPr>
      <w:r>
        <w:rPr>
          <w:rFonts w:hint="eastAsia" w:ascii="仿宋" w:hAnsi="仿宋" w:eastAsia="仿宋" w:cs="仿宋"/>
          <w:b/>
          <w:color w:val="auto"/>
          <w:kern w:val="2"/>
          <w:sz w:val="36"/>
          <w:szCs w:val="36"/>
          <w:lang w:eastAsia="zh-CN"/>
        </w:rPr>
        <w:t>采购内容及要求</w:t>
      </w:r>
    </w:p>
    <w:p>
      <w:pPr>
        <w:pStyle w:val="2"/>
        <w:jc w:val="both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一、供货范围清单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785" w:tblpY="29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2359"/>
        <w:gridCol w:w="3345"/>
        <w:gridCol w:w="1380"/>
        <w:gridCol w:w="12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车辆采购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参考653T尊享型（和悦版），详见下方技术参数及要求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辆</w:t>
            </w:r>
          </w:p>
        </w:tc>
      </w:tr>
    </w:tbl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二、技术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参数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及要求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</w:p>
    <w:tbl>
      <w:tblPr>
        <w:tblStyle w:val="4"/>
        <w:tblW w:w="9225" w:type="dxa"/>
        <w:tblInd w:w="-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5"/>
        <w:gridCol w:w="5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3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参数项目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级别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七座MPV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能源类型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汽油+48V轻混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最大功率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≥174KW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最大扭矩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≥350NM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排量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≥2000ML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5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轴 距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≥3088MM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/>
              </w:rPr>
              <w:t>▲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变速箱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9速自动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长*宽*高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长≥5219MM，宽≥1878MM，高≥1805MM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车身结构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MPV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整车质保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三年或十万公里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燃料形式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汽油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90Km/h等速油耗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≤6.6L/100Km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环保标准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国六B排放标准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2" w:hRule="atLeast"/>
        </w:trPr>
        <w:tc>
          <w:tcPr>
            <w:tcW w:w="922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其他说明：1.付款方式：自车辆验收交付、完成上牌并收到全额发票后十五个工作日内支付全部车价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款。2.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供应商保证所供车辆是2023年新款的、未使用过的（出厂日期在6个月内，车身颜色参考大漠金色），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符合国家规定的技术规格和质量标准的出厂原装合格产品，并且是完全符合该车型所要求规定的技术参数和质量要求。3.供应商需赠送原厂脚垫、首次保养及二次保养；交车时里程表记录小于50公里；赠送全车贴膜、脚垫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C6C39"/>
    <w:rsid w:val="3E5C6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99"/>
    <w:pPr>
      <w:widowControl/>
      <w:spacing w:before="100" w:beforeLines="0" w:beforeAutospacing="1" w:after="100" w:afterLines="0" w:afterAutospacing="1"/>
      <w:jc w:val="left"/>
    </w:pPr>
    <w:rPr>
      <w:rFonts w:hint="eastAsia" w:ascii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2023-08-17T08:45:00Z</dcterms:created>
  <dc:creator>微信用户</dc:creator>
  <cp:lastModifiedBy>微信用户</cp:lastModifiedBy>
  <dcterms:modified xsi:type="dcterms:W3CDTF">2023-08-17T08:46:40Z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EDB5014F5B8C40A1BAA84A52F27B319E</vt:lpwstr>
  </property>
</Properties>
</file>