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ageBreakBefore w:val="0"/>
        <w:numPr>
          <w:ilvl w:val="0"/>
          <w:numId w:val="0"/>
        </w:numPr>
        <w:kinsoku/>
        <w:wordWrap/>
        <w:overflowPunct/>
        <w:topLinePunct w:val="0"/>
        <w:bidi w:val="0"/>
        <w:spacing w:after="312" w:afterLines="100" w:line="460" w:lineRule="exact"/>
        <w:ind w:leftChars="0"/>
        <w:jc w:val="center"/>
        <w:outlineLvl w:val="0"/>
        <w:rPr>
          <w:rFonts w:hint="eastAsia" w:ascii="仿宋" w:hAnsi="仿宋" w:eastAsia="仿宋" w:cs="仿宋"/>
          <w:color w:val="auto"/>
          <w:sz w:val="32"/>
          <w:szCs w:val="32"/>
        </w:rPr>
      </w:pPr>
      <w:r>
        <w:rPr>
          <w:rFonts w:hint="eastAsia" w:ascii="仿宋" w:hAnsi="仿宋" w:eastAsia="仿宋" w:cs="仿宋"/>
          <w:color w:val="auto"/>
          <w:sz w:val="32"/>
          <w:szCs w:val="32"/>
        </w:rPr>
        <w:t>浙江衢州水业集团有限公司紫外光固化原材料复试服务采购项目采购内容及要求</w:t>
      </w:r>
    </w:p>
    <w:p>
      <w:pPr>
        <w:pStyle w:val="3"/>
        <w:pageBreakBefore w:val="0"/>
        <w:widowControl w:val="0"/>
        <w:numPr>
          <w:ilvl w:val="0"/>
          <w:numId w:val="0"/>
        </w:numPr>
        <w:kinsoku/>
        <w:wordWrap/>
        <w:overflowPunct/>
        <w:topLinePunct w:val="0"/>
        <w:autoSpaceDE/>
        <w:autoSpaceDN/>
        <w:bidi w:val="0"/>
        <w:adjustRightInd/>
        <w:snapToGrid/>
        <w:spacing w:before="120" w:after="120" w:line="520" w:lineRule="exact"/>
        <w:ind w:firstLine="482" w:firstLineChars="200"/>
        <w:textAlignment w:val="auto"/>
        <w:rPr>
          <w:rFonts w:hint="eastAsia" w:ascii="仿宋" w:hAnsi="仿宋" w:eastAsia="仿宋" w:cs="仿宋"/>
          <w:b/>
          <w:bCs w:val="0"/>
          <w:color w:val="auto"/>
          <w:sz w:val="24"/>
          <w:szCs w:val="24"/>
          <w:highlight w:val="none"/>
          <w:u w:val="none"/>
          <w:lang w:val="en-US" w:eastAsia="zh-CN"/>
        </w:rPr>
      </w:pPr>
      <w:bookmarkStart w:id="0" w:name="_Toc15750"/>
      <w:bookmarkStart w:id="1" w:name="_Toc10815"/>
      <w:bookmarkStart w:id="2" w:name="_Toc425259930"/>
      <w:r>
        <w:rPr>
          <w:rFonts w:hint="eastAsia" w:ascii="仿宋" w:hAnsi="仿宋" w:eastAsia="仿宋" w:cs="仿宋"/>
          <w:b/>
          <w:bCs w:val="0"/>
          <w:color w:val="auto"/>
          <w:sz w:val="24"/>
          <w:szCs w:val="24"/>
          <w:highlight w:val="none"/>
          <w:u w:val="none"/>
          <w:lang w:eastAsia="zh-CN"/>
        </w:rPr>
        <w:t>一、</w:t>
      </w:r>
      <w:bookmarkEnd w:id="0"/>
      <w:bookmarkEnd w:id="1"/>
      <w:bookmarkEnd w:id="2"/>
      <w:r>
        <w:rPr>
          <w:rFonts w:hint="eastAsia" w:ascii="仿宋" w:hAnsi="仿宋" w:eastAsia="仿宋" w:cs="仿宋"/>
          <w:b/>
          <w:bCs w:val="0"/>
          <w:color w:val="auto"/>
          <w:sz w:val="24"/>
          <w:szCs w:val="24"/>
          <w:highlight w:val="none"/>
          <w:u w:val="none"/>
          <w:lang w:val="en-US" w:eastAsia="zh-CN"/>
        </w:rPr>
        <w:t>服务内容</w:t>
      </w:r>
    </w:p>
    <w:p>
      <w:pPr>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rPr>
        <w:t>2021年衢州市主城区雨污水管道非开挖修复工程</w:t>
      </w:r>
      <w:r>
        <w:rPr>
          <w:rFonts w:hint="eastAsia" w:ascii="仿宋" w:hAnsi="仿宋" w:eastAsia="仿宋" w:cs="仿宋"/>
          <w:color w:val="auto"/>
          <w:sz w:val="24"/>
          <w:szCs w:val="24"/>
          <w:highlight w:val="none"/>
          <w:u w:val="none"/>
          <w:lang w:eastAsia="zh-CN"/>
        </w:rPr>
        <w:t>，对</w:t>
      </w:r>
      <w:r>
        <w:rPr>
          <w:rFonts w:hint="eastAsia" w:ascii="仿宋" w:hAnsi="仿宋" w:eastAsia="仿宋" w:cs="仿宋"/>
          <w:color w:val="auto"/>
          <w:sz w:val="24"/>
          <w:szCs w:val="24"/>
          <w:highlight w:val="none"/>
          <w:u w:val="none"/>
          <w:lang w:val="en-US" w:eastAsia="zh-CN"/>
        </w:rPr>
        <w:t>衢州市主城区范围内（北至衢江北路，南至浙赣铁路，西至衢江，东至衢化路，同时包含衢化路、府东街）公共雨、污水管道进行管道修复。其中雨水管道非开挖修复长约7.2公里，雨水管开挖修复长约7.3公里；污水管非开挖修复长约14.9公里，污水管开挖修复长约5.9公里；破除及恢复道路约31943平方米。属于排水管道改造项目。</w:t>
      </w:r>
    </w:p>
    <w:p>
      <w:pPr>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根据图纸设计说明中的要求，需进行紫外光CIPP固化内衬管取样试验。</w:t>
      </w:r>
    </w:p>
    <w:p>
      <w:pPr>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ascii="仿宋" w:hAnsi="仿宋" w:eastAsia="仿宋" w:cs="仿宋"/>
          <w:b/>
          <w:bCs w:val="0"/>
          <w:color w:val="auto"/>
          <w:sz w:val="24"/>
          <w:szCs w:val="24"/>
          <w:highlight w:val="none"/>
          <w:u w:val="none"/>
          <w:lang w:val="en-US" w:eastAsia="zh-CN"/>
        </w:rPr>
      </w:pPr>
      <w:r>
        <w:rPr>
          <w:rFonts w:hint="eastAsia" w:ascii="仿宋" w:hAnsi="仿宋" w:eastAsia="仿宋" w:cs="仿宋"/>
          <w:b/>
          <w:bCs w:val="0"/>
          <w:color w:val="auto"/>
          <w:sz w:val="24"/>
          <w:szCs w:val="24"/>
          <w:highlight w:val="none"/>
          <w:u w:val="none"/>
          <w:lang w:val="en-US" w:eastAsia="zh-CN"/>
        </w:rPr>
        <w:t>二、检测要求</w:t>
      </w:r>
    </w:p>
    <w:p>
      <w:pPr>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b w:val="0"/>
          <w:bCs/>
          <w:color w:val="auto"/>
          <w:sz w:val="24"/>
          <w:szCs w:val="24"/>
          <w:highlight w:val="none"/>
          <w:u w:val="none"/>
          <w:lang w:val="en-US" w:eastAsia="zh-CN"/>
        </w:rPr>
        <w:t>为保证进场材料符合设计及相关规范要求，对紫外光CIPP固化内衬管取样试验。采样数量以每条路每种管径取一组试块，每组3块；试块一般在施工现场直接从固化后新管的端部截取，受现场条件限制无法截取时，可以采用和施工条件同等的环境下制作的试块；试块强度必须符合下列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fldChar w:fldCharType="begin"/>
      </w:r>
      <w:r>
        <w:rPr>
          <w:rFonts w:hint="eastAsia" w:ascii="仿宋" w:hAnsi="仿宋" w:eastAsia="仿宋" w:cs="仿宋"/>
          <w:b/>
          <w:bCs/>
          <w:color w:val="auto"/>
          <w:sz w:val="24"/>
          <w:szCs w:val="24"/>
          <w:highlight w:val="none"/>
          <w:lang w:val="en-US" w:eastAsia="zh-CN"/>
        </w:rPr>
        <w:instrText xml:space="preserve"> = 1 \* GB4 \* MERGEFORMAT </w:instrText>
      </w:r>
      <w:r>
        <w:rPr>
          <w:rFonts w:hint="eastAsia" w:ascii="仿宋" w:hAnsi="仿宋" w:eastAsia="仿宋" w:cs="仿宋"/>
          <w:b/>
          <w:bCs/>
          <w:color w:val="auto"/>
          <w:sz w:val="24"/>
          <w:szCs w:val="24"/>
          <w:highlight w:val="none"/>
          <w:lang w:val="en-US" w:eastAsia="zh-CN"/>
        </w:rPr>
        <w:fldChar w:fldCharType="separate"/>
      </w:r>
      <w:r>
        <w:rPr>
          <w:color w:val="auto"/>
        </w:rPr>
        <w:t>㈠</w:t>
      </w:r>
      <w:r>
        <w:rPr>
          <w:rFonts w:hint="eastAsia" w:ascii="仿宋" w:hAnsi="仿宋" w:eastAsia="仿宋" w:cs="仿宋"/>
          <w:b/>
          <w:bCs/>
          <w:color w:val="auto"/>
          <w:sz w:val="24"/>
          <w:szCs w:val="24"/>
          <w:highlight w:val="none"/>
          <w:lang w:val="en-US" w:eastAsia="zh-CN"/>
        </w:rPr>
        <w:fldChar w:fldCharType="end"/>
      </w:r>
      <w:r>
        <w:rPr>
          <w:rFonts w:hint="eastAsia" w:ascii="仿宋" w:hAnsi="仿宋" w:eastAsia="仿宋" w:cs="仿宋"/>
          <w:b/>
          <w:bCs/>
          <w:color w:val="auto"/>
          <w:sz w:val="24"/>
          <w:szCs w:val="24"/>
          <w:highlight w:val="none"/>
          <w:lang w:val="en-US" w:eastAsia="zh-CN"/>
        </w:rPr>
        <w:t>壁厚</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内衬管设计厚度≤9mm时，厚度正误差允许在0-20%，软衬管设计厚度＞9mm时，厚度误差允许0-25%。</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1416"/>
        <w:gridCol w:w="4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序号</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管径（mm）</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紫外光CIPP整体修复材料厚度（mm）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1</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≤D300</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2</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D400</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3</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D500</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4</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D600</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5</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D700</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6</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D800</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7</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D900</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8</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D1000</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9</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D1200</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10</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D1400</w:t>
            </w:r>
          </w:p>
        </w:tc>
        <w:tc>
          <w:tcPr>
            <w:tcW w:w="0" w:type="auto"/>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vertAlign w:val="baseline"/>
                <w:lang w:val="en-US" w:eastAsia="zh-CN"/>
              </w:rPr>
            </w:pPr>
            <w:r>
              <w:rPr>
                <w:rFonts w:hint="eastAsia" w:ascii="仿宋" w:hAnsi="仿宋" w:eastAsia="仿宋" w:cs="仿宋"/>
                <w:color w:val="auto"/>
                <w:sz w:val="24"/>
                <w:szCs w:val="24"/>
                <w:highlight w:val="none"/>
                <w:vertAlign w:val="baseline"/>
                <w:lang w:val="en-US" w:eastAsia="zh-CN"/>
              </w:rPr>
              <w:t>9</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jc w:val="both"/>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fldChar w:fldCharType="begin"/>
      </w:r>
      <w:r>
        <w:rPr>
          <w:rFonts w:hint="eastAsia" w:ascii="仿宋" w:hAnsi="仿宋" w:eastAsia="仿宋" w:cs="仿宋"/>
          <w:b/>
          <w:bCs/>
          <w:color w:val="auto"/>
          <w:sz w:val="24"/>
          <w:szCs w:val="24"/>
          <w:highlight w:val="none"/>
          <w:lang w:val="en-US" w:eastAsia="zh-CN"/>
        </w:rPr>
        <w:instrText xml:space="preserve"> = 2 \* GB4 \* MERGEFORMAT </w:instrText>
      </w:r>
      <w:r>
        <w:rPr>
          <w:rFonts w:hint="eastAsia" w:ascii="仿宋" w:hAnsi="仿宋" w:eastAsia="仿宋" w:cs="仿宋"/>
          <w:b/>
          <w:bCs/>
          <w:color w:val="auto"/>
          <w:sz w:val="24"/>
          <w:szCs w:val="24"/>
          <w:highlight w:val="none"/>
          <w:lang w:val="en-US" w:eastAsia="zh-CN"/>
        </w:rPr>
        <w:fldChar w:fldCharType="separate"/>
      </w:r>
      <w:r>
        <w:rPr>
          <w:color w:val="auto"/>
        </w:rPr>
        <w:t>㈡</w:t>
      </w:r>
      <w:r>
        <w:rPr>
          <w:rFonts w:hint="eastAsia" w:ascii="仿宋" w:hAnsi="仿宋" w:eastAsia="仿宋" w:cs="仿宋"/>
          <w:b/>
          <w:bCs/>
          <w:color w:val="auto"/>
          <w:sz w:val="24"/>
          <w:szCs w:val="24"/>
          <w:highlight w:val="none"/>
          <w:lang w:val="en-US" w:eastAsia="zh-CN"/>
        </w:rPr>
        <w:fldChar w:fldCharType="end"/>
      </w:r>
      <w:r>
        <w:rPr>
          <w:rFonts w:hint="eastAsia" w:ascii="仿宋" w:hAnsi="仿宋" w:eastAsia="仿宋" w:cs="仿宋"/>
          <w:b/>
          <w:bCs/>
          <w:color w:val="auto"/>
          <w:sz w:val="24"/>
          <w:szCs w:val="24"/>
          <w:highlight w:val="none"/>
          <w:lang w:val="en-US" w:eastAsia="zh-CN"/>
        </w:rPr>
        <w:t>密实性测试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0.5bar压力下30分钟无渗漏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jc w:val="both"/>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fldChar w:fldCharType="begin"/>
      </w:r>
      <w:r>
        <w:rPr>
          <w:rFonts w:hint="eastAsia" w:ascii="仿宋" w:hAnsi="仿宋" w:eastAsia="仿宋" w:cs="仿宋"/>
          <w:b/>
          <w:bCs/>
          <w:color w:val="auto"/>
          <w:sz w:val="24"/>
          <w:szCs w:val="24"/>
          <w:highlight w:val="none"/>
          <w:lang w:val="en-US" w:eastAsia="zh-CN"/>
        </w:rPr>
        <w:instrText xml:space="preserve"> = 3 \* GB4 \* MERGEFORMAT </w:instrText>
      </w:r>
      <w:r>
        <w:rPr>
          <w:rFonts w:hint="eastAsia" w:ascii="仿宋" w:hAnsi="仿宋" w:eastAsia="仿宋" w:cs="仿宋"/>
          <w:b/>
          <w:bCs/>
          <w:color w:val="auto"/>
          <w:sz w:val="24"/>
          <w:szCs w:val="24"/>
          <w:highlight w:val="none"/>
          <w:lang w:val="en-US" w:eastAsia="zh-CN"/>
        </w:rPr>
        <w:fldChar w:fldCharType="separate"/>
      </w:r>
      <w:r>
        <w:rPr>
          <w:color w:val="auto"/>
        </w:rPr>
        <w:t>㈢</w:t>
      </w:r>
      <w:r>
        <w:rPr>
          <w:rFonts w:hint="eastAsia" w:ascii="仿宋" w:hAnsi="仿宋" w:eastAsia="仿宋" w:cs="仿宋"/>
          <w:b/>
          <w:bCs/>
          <w:color w:val="auto"/>
          <w:sz w:val="24"/>
          <w:szCs w:val="24"/>
          <w:highlight w:val="none"/>
          <w:lang w:val="en-US" w:eastAsia="zh-CN"/>
        </w:rPr>
        <w:fldChar w:fldCharType="end"/>
      </w:r>
      <w:r>
        <w:rPr>
          <w:rFonts w:hint="eastAsia" w:ascii="仿宋" w:hAnsi="仿宋" w:eastAsia="仿宋" w:cs="仿宋"/>
          <w:b/>
          <w:bCs/>
          <w:color w:val="auto"/>
          <w:sz w:val="24"/>
          <w:szCs w:val="24"/>
          <w:highlight w:val="none"/>
          <w:lang w:val="en-US" w:eastAsia="zh-CN"/>
        </w:rPr>
        <w:t>弯曲强度</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弯曲强度（MPa）＞125《纤维增强塑料弯曲性能试验方法》GB/T 1449</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jc w:val="both"/>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fldChar w:fldCharType="begin"/>
      </w:r>
      <w:r>
        <w:rPr>
          <w:rFonts w:hint="eastAsia" w:ascii="仿宋" w:hAnsi="仿宋" w:eastAsia="仿宋" w:cs="仿宋"/>
          <w:b/>
          <w:bCs/>
          <w:color w:val="auto"/>
          <w:sz w:val="24"/>
          <w:szCs w:val="24"/>
          <w:highlight w:val="none"/>
          <w:lang w:val="en-US" w:eastAsia="zh-CN"/>
        </w:rPr>
        <w:instrText xml:space="preserve"> = 4 \* GB4 \* MERGEFORMAT </w:instrText>
      </w:r>
      <w:r>
        <w:rPr>
          <w:rFonts w:hint="eastAsia" w:ascii="仿宋" w:hAnsi="仿宋" w:eastAsia="仿宋" w:cs="仿宋"/>
          <w:b/>
          <w:bCs/>
          <w:color w:val="auto"/>
          <w:sz w:val="24"/>
          <w:szCs w:val="24"/>
          <w:highlight w:val="none"/>
          <w:lang w:val="en-US" w:eastAsia="zh-CN"/>
        </w:rPr>
        <w:fldChar w:fldCharType="separate"/>
      </w:r>
      <w:r>
        <w:rPr>
          <w:color w:val="auto"/>
        </w:rPr>
        <w:t>㈣</w:t>
      </w:r>
      <w:r>
        <w:rPr>
          <w:rFonts w:hint="eastAsia" w:ascii="仿宋" w:hAnsi="仿宋" w:eastAsia="仿宋" w:cs="仿宋"/>
          <w:b/>
          <w:bCs/>
          <w:color w:val="auto"/>
          <w:sz w:val="24"/>
          <w:szCs w:val="24"/>
          <w:highlight w:val="none"/>
          <w:lang w:val="en-US" w:eastAsia="zh-CN"/>
        </w:rPr>
        <w:fldChar w:fldCharType="end"/>
      </w:r>
      <w:r>
        <w:rPr>
          <w:rFonts w:hint="eastAsia" w:ascii="仿宋" w:hAnsi="仿宋" w:eastAsia="仿宋" w:cs="仿宋"/>
          <w:b/>
          <w:bCs/>
          <w:color w:val="auto"/>
          <w:sz w:val="24"/>
          <w:szCs w:val="24"/>
          <w:highlight w:val="none"/>
          <w:lang w:val="en-US" w:eastAsia="zh-CN"/>
        </w:rPr>
        <w:t>弯曲模量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弯曲模量（MPa）＞8000《纤维增强塑料弯曲性能试验方法》GB/T 1449</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jc w:val="both"/>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fldChar w:fldCharType="begin"/>
      </w:r>
      <w:r>
        <w:rPr>
          <w:rFonts w:hint="eastAsia" w:ascii="仿宋" w:hAnsi="仿宋" w:eastAsia="仿宋" w:cs="仿宋"/>
          <w:b/>
          <w:bCs/>
          <w:color w:val="auto"/>
          <w:sz w:val="24"/>
          <w:szCs w:val="24"/>
          <w:highlight w:val="none"/>
          <w:lang w:val="en-US" w:eastAsia="zh-CN"/>
        </w:rPr>
        <w:instrText xml:space="preserve"> = 5 \* GB4 \* MERGEFORMAT </w:instrText>
      </w:r>
      <w:r>
        <w:rPr>
          <w:rFonts w:hint="eastAsia" w:ascii="仿宋" w:hAnsi="仿宋" w:eastAsia="仿宋" w:cs="仿宋"/>
          <w:b/>
          <w:bCs/>
          <w:color w:val="auto"/>
          <w:sz w:val="24"/>
          <w:szCs w:val="24"/>
          <w:highlight w:val="none"/>
          <w:lang w:val="en-US" w:eastAsia="zh-CN"/>
        </w:rPr>
        <w:fldChar w:fldCharType="separate"/>
      </w:r>
      <w:r>
        <w:rPr>
          <w:color w:val="auto"/>
        </w:rPr>
        <w:t>㈤</w:t>
      </w:r>
      <w:r>
        <w:rPr>
          <w:rFonts w:hint="eastAsia" w:ascii="仿宋" w:hAnsi="仿宋" w:eastAsia="仿宋" w:cs="仿宋"/>
          <w:b/>
          <w:bCs/>
          <w:color w:val="auto"/>
          <w:sz w:val="24"/>
          <w:szCs w:val="24"/>
          <w:highlight w:val="none"/>
          <w:lang w:val="en-US" w:eastAsia="zh-CN"/>
        </w:rPr>
        <w:fldChar w:fldCharType="end"/>
      </w:r>
      <w:r>
        <w:rPr>
          <w:rFonts w:hint="eastAsia" w:ascii="仿宋" w:hAnsi="仿宋" w:eastAsia="仿宋" w:cs="仿宋"/>
          <w:b/>
          <w:bCs/>
          <w:color w:val="auto"/>
          <w:sz w:val="24"/>
          <w:szCs w:val="24"/>
          <w:highlight w:val="none"/>
          <w:lang w:val="en-US" w:eastAsia="zh-CN"/>
        </w:rPr>
        <w:t>抗拉强度</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抗拉强度（MPa）＞80《塑料拉伸性能的测定第4部分；各向同性和正交各向异性纤维增强复合材料的试验条件》GB/T 1040.4</w:t>
      </w:r>
    </w:p>
    <w:p>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A728CC"/>
    <w:multiLevelType w:val="multilevel"/>
    <w:tmpl w:val="1AA728CC"/>
    <w:lvl w:ilvl="0" w:tentative="0">
      <w:start w:val="1"/>
      <w:numFmt w:val="lowerLetter"/>
      <w:pStyle w:val="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8D3C53"/>
    <w:rsid w:val="021148D9"/>
    <w:rsid w:val="2C8D3C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4"/>
    <w:basedOn w:val="1"/>
    <w:next w:val="1"/>
    <w:qFormat/>
    <w:uiPriority w:val="0"/>
    <w:pPr>
      <w:keepNext/>
      <w:keepLines/>
      <w:numPr>
        <w:ilvl w:val="0"/>
        <w:numId w:val="1"/>
      </w:numPr>
      <w:spacing w:before="280" w:beforeLines="0" w:after="290" w:afterLines="0" w:line="376" w:lineRule="auto"/>
      <w:outlineLvl w:val="3"/>
    </w:pPr>
    <w:rPr>
      <w:rFonts w:ascii="Cambria" w:hAnsi="Cambria"/>
      <w:b/>
      <w:bCs/>
      <w:sz w:val="28"/>
      <w:szCs w:val="28"/>
    </w:rPr>
  </w:style>
  <w:style w:type="paragraph" w:styleId="2">
    <w:name w:val="heading 6"/>
    <w:basedOn w:val="1"/>
    <w:next w:val="1"/>
    <w:qFormat/>
    <w:uiPriority w:val="0"/>
    <w:pPr>
      <w:widowControl/>
      <w:overflowPunct w:val="0"/>
      <w:autoSpaceDE w:val="0"/>
      <w:autoSpaceDN w:val="0"/>
      <w:adjustRightInd w:val="0"/>
      <w:spacing w:before="240" w:beforeLines="0" w:after="60" w:afterLines="0"/>
      <w:jc w:val="left"/>
      <w:textAlignment w:val="baseline"/>
      <w:outlineLvl w:val="5"/>
    </w:pPr>
    <w:rPr>
      <w:rFonts w:ascii="Arial" w:hAnsi="Arial" w:eastAsia="仿宋_GB2312"/>
      <w:i/>
      <w:kern w:val="0"/>
      <w:sz w:val="22"/>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next w:val="1"/>
    <w:qFormat/>
    <w:uiPriority w:val="0"/>
    <w:rPr>
      <w:rFonts w:eastAsia="黑体"/>
      <w:b/>
      <w:bCs/>
      <w:spacing w:val="20"/>
      <w:kern w:val="52"/>
      <w:sz w:val="56"/>
      <w:szCs w:val="24"/>
    </w:rPr>
  </w:style>
  <w:style w:type="table" w:styleId="6">
    <w:name w:val="Table Grid"/>
    <w:basedOn w:val="5"/>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2023-04-25T09:16:00Z</dcterms:created>
  <dc:creator>Administrator</dc:creator>
  <cp:lastModifiedBy>Administrator</cp:lastModifiedBy>
  <dcterms:modified xsi:type="dcterms:W3CDTF">2023-04-26T00:48:42Z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03ED2F250DAE4142A6F602F5CD50800D</vt:lpwstr>
  </property>
</Properties>
</file>