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numPr>
          <w:ilvl w:val="0"/>
          <w:numId w:val="0"/>
        </w:numPr>
        <w:spacing w:beforeLines="0" w:after="156"/>
        <w:jc w:val="center"/>
        <w:rPr>
          <w:rFonts w:hint="eastAsia" w:ascii="仿宋" w:hAnsi="仿宋" w:eastAsia="仿宋" w:cs="仿宋"/>
          <w:color w:val="auto"/>
          <w:sz w:val="36"/>
          <w:szCs w:val="36"/>
          <w:highlight w:val="none"/>
        </w:rPr>
      </w:pPr>
      <w:r>
        <w:rPr>
          <w:rFonts w:hint="eastAsia" w:ascii="仿宋" w:hAnsi="仿宋" w:eastAsia="仿宋" w:cs="仿宋"/>
          <w:color w:val="auto"/>
          <w:sz w:val="36"/>
          <w:szCs w:val="36"/>
          <w:highlight w:val="none"/>
        </w:rPr>
        <w:t>开设2021年衢州市主城区雨污水管道非开挖修复工程项目资金存放银行账户选择项目采购内容及要求</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val="0"/>
        <w:spacing w:after="0" w:line="500" w:lineRule="exact"/>
        <w:ind w:firstLine="562" w:firstLineChars="200"/>
        <w:textAlignment w:val="auto"/>
        <w:rPr>
          <w:rFonts w:hint="eastAsia" w:ascii="仿宋" w:hAnsi="仿宋" w:eastAsia="仿宋" w:cs="仿宋"/>
          <w:b/>
          <w:bCs/>
          <w:color w:val="auto"/>
          <w:sz w:val="28"/>
          <w:szCs w:val="28"/>
          <w:shd w:val="clear" w:color="auto" w:fill="FFFFFF"/>
          <w:lang w:val="en-US" w:eastAsia="zh-CN"/>
        </w:rPr>
      </w:pPr>
      <w:r>
        <w:rPr>
          <w:rFonts w:hint="eastAsia" w:ascii="仿宋" w:hAnsi="仿宋" w:eastAsia="仿宋" w:cs="仿宋"/>
          <w:b/>
          <w:bCs/>
          <w:color w:val="auto"/>
          <w:sz w:val="28"/>
          <w:szCs w:val="28"/>
          <w:shd w:val="clear" w:color="auto" w:fill="FFFFFF"/>
          <w:lang w:val="en-US" w:eastAsia="zh-CN"/>
        </w:rPr>
        <w:t>一、项目基本情况</w:t>
      </w:r>
    </w:p>
    <w:p>
      <w:pPr>
        <w:keepNext w:val="0"/>
        <w:keepLines w:val="0"/>
        <w:pageBreakBefore w:val="0"/>
        <w:widowControl w:val="0"/>
        <w:kinsoku/>
        <w:wordWrap/>
        <w:overflowPunct/>
        <w:topLinePunct w:val="0"/>
        <w:autoSpaceDE/>
        <w:autoSpaceDN/>
        <w:bidi w:val="0"/>
        <w:adjustRightInd/>
        <w:snapToGrid w:val="0"/>
        <w:spacing w:after="0" w:line="500" w:lineRule="exact"/>
        <w:ind w:firstLine="560" w:firstLineChars="200"/>
        <w:textAlignment w:val="auto"/>
        <w:rPr>
          <w:rFonts w:hint="default" w:ascii="仿宋" w:hAnsi="仿宋" w:eastAsia="仿宋" w:cs="仿宋"/>
          <w:color w:val="auto"/>
          <w:sz w:val="28"/>
          <w:szCs w:val="28"/>
          <w:shd w:val="clear" w:color="auto" w:fill="FFFFFF"/>
          <w:lang w:val="en-US" w:eastAsia="zh-CN"/>
        </w:rPr>
      </w:pPr>
      <w:r>
        <w:rPr>
          <w:rFonts w:hint="eastAsia" w:ascii="仿宋" w:hAnsi="仿宋" w:eastAsia="仿宋" w:cs="仿宋"/>
          <w:color w:val="auto"/>
          <w:sz w:val="28"/>
          <w:szCs w:val="28"/>
          <w:shd w:val="clear" w:color="auto" w:fill="FFFFFF"/>
          <w:lang w:val="en-US" w:eastAsia="zh-CN"/>
        </w:rPr>
        <w:t>为改善主城区雨污水管道的排放条件，解决老旧雨污水管道漏、破损现象，给居民提供更好的环境，实施2021年衢州市主城区雨污水管道非开挖修复工程。项目选址于衢州市柯城区，符合《衢州市城市总体规划》和《衢州市土地利用总体规划》，无需新增建设用地。主要对衢州市主城区范围内公共雨、污水管道进行管道修复。工程投资概算约1.75亿元，项目建设期1年，建设资金为财政资金，包含部分政府一般债资金，根据政府一般债资金的使用规定，要求开设银行专户，用于项目工程专项结算，资金不归集国资或城投资金池。</w:t>
      </w:r>
    </w:p>
    <w:p>
      <w:pPr>
        <w:pStyle w:val="2"/>
        <w:keepNext w:val="0"/>
        <w:keepLines w:val="0"/>
        <w:pageBreakBefore w:val="0"/>
        <w:kinsoku/>
        <w:wordWrap/>
        <w:overflowPunct/>
        <w:topLinePunct w:val="0"/>
        <w:autoSpaceDE/>
        <w:autoSpaceDN/>
        <w:bidi w:val="0"/>
        <w:snapToGrid w:val="0"/>
        <w:spacing w:after="0" w:line="500" w:lineRule="exact"/>
        <w:ind w:firstLine="562" w:firstLineChars="200"/>
        <w:textAlignment w:val="auto"/>
        <w:rPr>
          <w:rFonts w:hint="default" w:ascii="仿宋" w:hAnsi="仿宋" w:eastAsia="仿宋"/>
          <w:color w:val="auto"/>
          <w:sz w:val="28"/>
          <w:szCs w:val="28"/>
          <w:lang w:val="en-US" w:eastAsia="zh-CN"/>
        </w:rPr>
      </w:pPr>
      <w:r>
        <w:rPr>
          <w:rFonts w:hint="eastAsia" w:ascii="仿宋" w:hAnsi="仿宋" w:eastAsia="仿宋" w:cs="仿宋"/>
          <w:b/>
          <w:bCs/>
          <w:color w:val="auto"/>
          <w:kern w:val="2"/>
          <w:sz w:val="28"/>
          <w:szCs w:val="28"/>
          <w:shd w:val="clear" w:color="auto" w:fill="FFFFFF"/>
          <w:lang w:val="en-US" w:eastAsia="zh-CN" w:bidi="ar-SA"/>
        </w:rPr>
        <w:t>二、服务要求：</w:t>
      </w:r>
    </w:p>
    <w:p>
      <w:pPr>
        <w:keepNext w:val="0"/>
        <w:keepLines w:val="0"/>
        <w:pageBreakBefore w:val="0"/>
        <w:widowControl w:val="0"/>
        <w:numPr>
          <w:ilvl w:val="0"/>
          <w:numId w:val="0"/>
        </w:numPr>
        <w:kinsoku/>
        <w:wordWrap/>
        <w:overflowPunct/>
        <w:topLinePunct w:val="0"/>
        <w:autoSpaceDE/>
        <w:autoSpaceDN/>
        <w:bidi w:val="0"/>
        <w:adjustRightInd/>
        <w:snapToGrid w:val="0"/>
        <w:spacing w:after="0" w:line="50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shd w:val="clear" w:color="auto" w:fill="FFFFFF"/>
          <w:lang w:val="en-US" w:eastAsia="zh-CN"/>
        </w:rPr>
        <w:t>1.</w:t>
      </w:r>
      <w:r>
        <w:rPr>
          <w:rFonts w:hint="eastAsia" w:ascii="仿宋" w:hAnsi="仿宋" w:eastAsia="仿宋" w:cs="仿宋"/>
          <w:color w:val="auto"/>
          <w:sz w:val="28"/>
          <w:szCs w:val="28"/>
          <w:shd w:val="clear" w:color="auto" w:fill="FFFFFF"/>
        </w:rPr>
        <w:t>在衢州市区设立机构（或分支机构）的国有商业银行、股份制商业银行、邮政储蓄银行、城市商业银行、农村信用合作联社、农村商业银行、农村合作银行；每家银行有且只能有一个主体参与,且须为衢州市内级别最高机构（或分支机构）。</w:t>
      </w:r>
      <w:r>
        <w:rPr>
          <w:rFonts w:hint="eastAsia" w:ascii="仿宋" w:hAnsi="仿宋" w:eastAsia="仿宋" w:cs="仿宋"/>
          <w:color w:val="auto"/>
          <w:sz w:val="28"/>
          <w:szCs w:val="28"/>
          <w:shd w:val="clear" w:color="auto" w:fill="FFFFFF"/>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val="0"/>
        <w:spacing w:after="0" w:line="50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shd w:val="clear" w:color="auto" w:fill="FFFFFF"/>
          <w:lang w:val="en-US" w:eastAsia="zh-CN"/>
        </w:rPr>
        <w:t>2.</w:t>
      </w:r>
      <w:r>
        <w:rPr>
          <w:rFonts w:hint="eastAsia" w:ascii="仿宋" w:hAnsi="仿宋" w:eastAsia="仿宋" w:cs="仿宋"/>
          <w:color w:val="auto"/>
          <w:sz w:val="28"/>
          <w:szCs w:val="28"/>
          <w:shd w:val="clear" w:color="auto" w:fill="FFFFFF"/>
        </w:rPr>
        <w:t>依法开展经营活动，近3年内在经营活动中无重大违法违规记录；</w:t>
      </w:r>
    </w:p>
    <w:p>
      <w:pPr>
        <w:keepNext w:val="0"/>
        <w:keepLines w:val="0"/>
        <w:pageBreakBefore w:val="0"/>
        <w:widowControl w:val="0"/>
        <w:numPr>
          <w:ilvl w:val="0"/>
          <w:numId w:val="0"/>
        </w:numPr>
        <w:kinsoku/>
        <w:wordWrap/>
        <w:overflowPunct/>
        <w:topLinePunct w:val="0"/>
        <w:autoSpaceDE/>
        <w:autoSpaceDN/>
        <w:bidi w:val="0"/>
        <w:adjustRightInd/>
        <w:snapToGrid w:val="0"/>
        <w:spacing w:after="0" w:line="50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shd w:val="clear" w:color="auto" w:fill="FFFFFF"/>
          <w:lang w:val="en-US" w:eastAsia="zh-CN"/>
        </w:rPr>
        <w:t>3.</w:t>
      </w:r>
      <w:r>
        <w:rPr>
          <w:rFonts w:hint="eastAsia" w:ascii="仿宋" w:hAnsi="仿宋" w:eastAsia="仿宋" w:cs="仿宋"/>
          <w:color w:val="auto"/>
          <w:sz w:val="28"/>
          <w:szCs w:val="28"/>
          <w:shd w:val="clear" w:color="auto" w:fill="FFFFFF"/>
        </w:rPr>
        <w:t>财务稳健，不良贷款率、拨备覆盖率、流动性覆盖率、流动性比例等指标达到监管标准</w:t>
      </w:r>
      <w:r>
        <w:rPr>
          <w:rFonts w:hint="eastAsia" w:ascii="仿宋" w:hAnsi="仿宋" w:eastAsia="仿宋" w:cs="仿宋"/>
          <w:color w:val="auto"/>
          <w:sz w:val="28"/>
          <w:szCs w:val="28"/>
          <w:shd w:val="clear" w:color="auto" w:fill="FFFFFF"/>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after="0" w:line="500" w:lineRule="exact"/>
        <w:ind w:firstLine="560" w:firstLineChars="200"/>
        <w:textAlignment w:val="auto"/>
        <w:rPr>
          <w:rFonts w:hint="eastAsia" w:ascii="仿宋" w:hAnsi="仿宋" w:eastAsia="仿宋" w:cs="仿宋"/>
          <w:color w:val="auto"/>
          <w:sz w:val="28"/>
          <w:szCs w:val="28"/>
          <w:shd w:val="clear" w:color="auto" w:fill="FFFFFF"/>
        </w:rPr>
      </w:pPr>
      <w:r>
        <w:rPr>
          <w:rFonts w:hint="eastAsia" w:ascii="仿宋" w:hAnsi="仿宋" w:eastAsia="仿宋" w:cs="仿宋"/>
          <w:color w:val="auto"/>
          <w:sz w:val="28"/>
          <w:szCs w:val="28"/>
          <w:shd w:val="clear" w:color="auto" w:fill="FFFFFF"/>
          <w:lang w:val="en-US" w:eastAsia="zh-CN"/>
        </w:rPr>
        <w:t>4.</w:t>
      </w:r>
      <w:r>
        <w:rPr>
          <w:rFonts w:hint="eastAsia" w:ascii="仿宋" w:hAnsi="仿宋" w:eastAsia="仿宋" w:cs="仿宋"/>
          <w:color w:val="auto"/>
          <w:sz w:val="28"/>
          <w:szCs w:val="28"/>
          <w:shd w:val="clear" w:color="auto" w:fill="FFFFFF"/>
        </w:rPr>
        <w:t>内部管理机制健全，具有较强的风险控制能力，近3年内未发生金融风险及重大违约事件。</w:t>
      </w:r>
    </w:p>
    <w:p>
      <w:pPr>
        <w:keepNext w:val="0"/>
        <w:keepLines w:val="0"/>
        <w:pageBreakBefore w:val="0"/>
        <w:widowControl w:val="0"/>
        <w:numPr>
          <w:ilvl w:val="0"/>
          <w:numId w:val="0"/>
        </w:numPr>
        <w:kinsoku/>
        <w:wordWrap/>
        <w:overflowPunct/>
        <w:topLinePunct w:val="0"/>
        <w:autoSpaceDE/>
        <w:autoSpaceDN/>
        <w:bidi w:val="0"/>
        <w:adjustRightInd/>
        <w:snapToGrid w:val="0"/>
        <w:spacing w:after="0" w:line="500" w:lineRule="exact"/>
        <w:ind w:firstLine="560" w:firstLineChars="200"/>
        <w:textAlignment w:val="auto"/>
        <w:rPr>
          <w:rFonts w:hint="eastAsia" w:ascii="仿宋" w:hAnsi="仿宋" w:eastAsia="仿宋" w:cs="仿宋"/>
          <w:color w:val="auto"/>
          <w:sz w:val="28"/>
          <w:szCs w:val="28"/>
          <w:shd w:val="clear" w:color="auto" w:fill="FFFFFF"/>
          <w:lang w:val="en-US" w:eastAsia="zh-CN"/>
        </w:rPr>
      </w:pPr>
      <w:r>
        <w:rPr>
          <w:rFonts w:hint="eastAsia" w:ascii="仿宋" w:hAnsi="仿宋" w:eastAsia="仿宋" w:cs="仿宋"/>
          <w:color w:val="auto"/>
          <w:sz w:val="28"/>
          <w:szCs w:val="28"/>
          <w:shd w:val="clear" w:color="auto" w:fill="FFFFFF"/>
          <w:lang w:val="en-US" w:eastAsia="zh-CN"/>
        </w:rPr>
        <w:t>5.服务期限为该项目经财务竣工决算移交后该银行账户注销。</w:t>
      </w:r>
    </w:p>
    <w:p>
      <w:pPr>
        <w:keepNext w:val="0"/>
        <w:keepLines w:val="0"/>
        <w:pageBreakBefore w:val="0"/>
        <w:widowControl w:val="0"/>
        <w:numPr>
          <w:ilvl w:val="0"/>
          <w:numId w:val="0"/>
        </w:numPr>
        <w:kinsoku/>
        <w:wordWrap/>
        <w:overflowPunct/>
        <w:topLinePunct w:val="0"/>
        <w:autoSpaceDE/>
        <w:autoSpaceDN/>
        <w:bidi w:val="0"/>
        <w:adjustRightInd/>
        <w:snapToGrid w:val="0"/>
        <w:spacing w:after="0" w:line="500" w:lineRule="exact"/>
        <w:ind w:firstLine="560" w:firstLineChars="200"/>
        <w:textAlignment w:val="auto"/>
        <w:rPr>
          <w:rFonts w:hint="default" w:ascii="仿宋" w:hAnsi="仿宋" w:eastAsia="仿宋" w:cs="仿宋"/>
          <w:color w:val="auto"/>
          <w:sz w:val="28"/>
          <w:szCs w:val="28"/>
          <w:shd w:val="clear" w:color="auto" w:fill="FFFFFF"/>
          <w:lang w:val="en-US" w:eastAsia="zh-CN"/>
        </w:rPr>
      </w:pPr>
      <w:r>
        <w:rPr>
          <w:rFonts w:hint="eastAsia" w:ascii="仿宋" w:hAnsi="仿宋" w:eastAsia="仿宋" w:cs="仿宋"/>
          <w:color w:val="auto"/>
          <w:sz w:val="28"/>
          <w:szCs w:val="28"/>
          <w:shd w:val="clear" w:color="auto" w:fill="FFFFFF"/>
          <w:lang w:val="en-US" w:eastAsia="zh-CN"/>
        </w:rPr>
        <w:t>6.确保账户资金随时用于项目工程专项结算，不得截留、挤占或挪作他用。</w:t>
      </w:r>
    </w:p>
    <w:p>
      <w:pPr>
        <w:keepNext w:val="0"/>
        <w:keepLines w:val="0"/>
        <w:pageBreakBefore w:val="0"/>
        <w:numPr>
          <w:ilvl w:val="0"/>
          <w:numId w:val="0"/>
        </w:numPr>
        <w:kinsoku/>
        <w:wordWrap/>
        <w:overflowPunct/>
        <w:topLinePunct w:val="0"/>
        <w:autoSpaceDE/>
        <w:autoSpaceDN/>
        <w:bidi w:val="0"/>
        <w:snapToGrid w:val="0"/>
        <w:spacing w:line="500" w:lineRule="exact"/>
        <w:ind w:firstLine="562" w:firstLineChars="200"/>
        <w:jc w:val="left"/>
        <w:textAlignment w:val="auto"/>
        <w:rPr>
          <w:rFonts w:hint="eastAsia" w:ascii="仿宋" w:hAnsi="仿宋" w:eastAsia="仿宋" w:cs="仿宋"/>
          <w:b/>
          <w:bCs/>
          <w:color w:val="auto"/>
          <w:sz w:val="28"/>
          <w:szCs w:val="28"/>
        </w:rPr>
      </w:pPr>
      <w:r>
        <w:rPr>
          <w:rFonts w:hint="eastAsia" w:ascii="仿宋" w:hAnsi="仿宋" w:eastAsia="仿宋" w:cs="仿宋"/>
          <w:b/>
          <w:bCs/>
          <w:color w:val="auto"/>
          <w:sz w:val="28"/>
          <w:szCs w:val="28"/>
          <w:lang w:val="en-US" w:eastAsia="zh-CN"/>
        </w:rPr>
        <w:t>三</w:t>
      </w:r>
      <w:r>
        <w:rPr>
          <w:rFonts w:hint="eastAsia" w:ascii="仿宋" w:hAnsi="仿宋" w:eastAsia="仿宋" w:cs="仿宋"/>
          <w:b/>
          <w:bCs/>
          <w:color w:val="auto"/>
          <w:sz w:val="28"/>
          <w:szCs w:val="28"/>
          <w:lang w:eastAsia="zh-CN"/>
        </w:rPr>
        <w:t>、</w:t>
      </w:r>
      <w:r>
        <w:rPr>
          <w:rFonts w:hint="eastAsia" w:ascii="仿宋" w:hAnsi="仿宋" w:eastAsia="仿宋" w:cs="仿宋"/>
          <w:b/>
          <w:bCs/>
          <w:color w:val="auto"/>
          <w:sz w:val="28"/>
          <w:szCs w:val="28"/>
        </w:rPr>
        <w:t>有下列情形之一的，</w:t>
      </w:r>
      <w:r>
        <w:rPr>
          <w:rFonts w:hint="eastAsia" w:ascii="仿宋" w:hAnsi="仿宋" w:eastAsia="仿宋" w:cs="仿宋"/>
          <w:b/>
          <w:bCs/>
          <w:color w:val="auto"/>
          <w:sz w:val="28"/>
          <w:szCs w:val="28"/>
          <w:lang w:val="en-US" w:eastAsia="zh-CN"/>
        </w:rPr>
        <w:t>采购人将</w:t>
      </w:r>
      <w:r>
        <w:rPr>
          <w:rFonts w:hint="eastAsia" w:ascii="仿宋" w:hAnsi="仿宋" w:eastAsia="仿宋" w:cs="仿宋"/>
          <w:b/>
          <w:bCs/>
          <w:color w:val="auto"/>
          <w:sz w:val="28"/>
          <w:szCs w:val="28"/>
        </w:rPr>
        <w:t>中止资金存放服务：</w:t>
      </w:r>
    </w:p>
    <w:p>
      <w:pPr>
        <w:keepNext w:val="0"/>
        <w:keepLines w:val="0"/>
        <w:pageBreakBefore w:val="0"/>
        <w:kinsoku/>
        <w:wordWrap/>
        <w:overflowPunct/>
        <w:topLinePunct w:val="0"/>
        <w:autoSpaceDE/>
        <w:autoSpaceDN/>
        <w:bidi w:val="0"/>
        <w:snapToGrid w:val="0"/>
        <w:spacing w:line="50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w:t>
      </w:r>
      <w:r>
        <w:rPr>
          <w:rFonts w:hint="eastAsia" w:ascii="仿宋" w:hAnsi="仿宋" w:eastAsia="仿宋" w:cs="仿宋"/>
          <w:color w:val="auto"/>
          <w:sz w:val="28"/>
          <w:szCs w:val="28"/>
          <w:lang w:val="en-US" w:eastAsia="zh-CN"/>
        </w:rPr>
        <w:t>资金存放</w:t>
      </w:r>
      <w:r>
        <w:rPr>
          <w:rFonts w:hint="eastAsia" w:ascii="仿宋" w:hAnsi="仿宋" w:eastAsia="仿宋" w:cs="仿宋"/>
          <w:color w:val="auto"/>
          <w:sz w:val="28"/>
          <w:szCs w:val="28"/>
        </w:rPr>
        <w:t>银行在资金存放期间出现资金安全事故、重大违法违规行为或财务状况恶化的；</w:t>
      </w:r>
    </w:p>
    <w:p>
      <w:pPr>
        <w:keepNext w:val="0"/>
        <w:keepLines w:val="0"/>
        <w:pageBreakBefore w:val="0"/>
        <w:kinsoku/>
        <w:wordWrap/>
        <w:overflowPunct/>
        <w:topLinePunct w:val="0"/>
        <w:autoSpaceDE/>
        <w:autoSpaceDN/>
        <w:bidi w:val="0"/>
        <w:snapToGrid w:val="0"/>
        <w:spacing w:line="50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2、监管评级降低且监管部门认为存在较大运营风险的；</w:t>
      </w:r>
    </w:p>
    <w:p>
      <w:pPr>
        <w:keepNext w:val="0"/>
        <w:keepLines w:val="0"/>
        <w:pageBreakBefore w:val="0"/>
        <w:kinsoku/>
        <w:wordWrap/>
        <w:overflowPunct/>
        <w:topLinePunct w:val="0"/>
        <w:autoSpaceDE/>
        <w:autoSpaceDN/>
        <w:bidi w:val="0"/>
        <w:snapToGrid w:val="0"/>
        <w:spacing w:line="50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w:t>
      </w:r>
      <w:r>
        <w:rPr>
          <w:rFonts w:hint="eastAsia" w:ascii="仿宋" w:hAnsi="仿宋" w:eastAsia="仿宋" w:cs="仿宋"/>
          <w:color w:val="auto"/>
          <w:sz w:val="28"/>
          <w:szCs w:val="28"/>
          <w:lang w:val="en-US" w:eastAsia="zh-CN"/>
        </w:rPr>
        <w:t>资金存放</w:t>
      </w:r>
      <w:r>
        <w:rPr>
          <w:rFonts w:hint="eastAsia" w:ascii="仿宋" w:hAnsi="仿宋" w:eastAsia="仿宋" w:cs="仿宋"/>
          <w:color w:val="auto"/>
          <w:sz w:val="28"/>
          <w:szCs w:val="28"/>
        </w:rPr>
        <w:t>银行解散或其机构（分支机构）撤离衢州市区的；</w:t>
      </w:r>
    </w:p>
    <w:p>
      <w:pPr>
        <w:ind w:firstLine="560" w:firstLineChars="200"/>
      </w:pPr>
      <w:r>
        <w:rPr>
          <w:rFonts w:hint="eastAsia" w:ascii="仿宋" w:hAnsi="仿宋" w:eastAsia="仿宋" w:cs="仿宋"/>
          <w:color w:val="auto"/>
          <w:sz w:val="28"/>
          <w:szCs w:val="28"/>
        </w:rPr>
        <w:t>4、存在其他妨害资金安全行为的。</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5133286"/>
    <w:multiLevelType w:val="multilevel"/>
    <w:tmpl w:val="45133286"/>
    <w:lvl w:ilvl="0" w:tentative="0">
      <w:start w:val="1"/>
      <w:numFmt w:val="chineseCountingThousand"/>
      <w:pStyle w:val="3"/>
      <w:lvlText w:val="%1."/>
      <w:lvlJc w:val="left"/>
      <w:pPr>
        <w:ind w:left="0" w:firstLine="0"/>
      </w:pPr>
      <w:rPr>
        <w:rFonts w:hint="eastAsia" w:ascii="宋体" w:hAnsi="宋体" w:eastAsia="宋体"/>
        <w:b/>
        <w:i w:val="0"/>
        <w:sz w:val="32"/>
        <w:szCs w:val="21"/>
      </w:rPr>
    </w:lvl>
    <w:lvl w:ilvl="1" w:tentative="0">
      <w:start w:val="1"/>
      <w:numFmt w:val="decimal"/>
      <w:lvlText w:val="%2."/>
      <w:lvlJc w:val="left"/>
      <w:pPr>
        <w:ind w:left="0" w:firstLine="0"/>
      </w:pPr>
      <w:rPr>
        <w:rFonts w:hint="eastAsia"/>
      </w:rPr>
    </w:lvl>
    <w:lvl w:ilvl="2" w:tentative="0">
      <w:start w:val="1"/>
      <w:numFmt w:val="decimal"/>
      <w:lvlText w:val="%2.%3."/>
      <w:lvlJc w:val="left"/>
      <w:pPr>
        <w:ind w:left="0" w:firstLine="0"/>
      </w:pPr>
      <w:rPr>
        <w:rFonts w:hint="eastAsia"/>
      </w:rPr>
    </w:lvl>
    <w:lvl w:ilvl="3" w:tentative="0">
      <w:start w:val="1"/>
      <w:numFmt w:val="decimal"/>
      <w:lvlText w:val="%2.%3.%4."/>
      <w:lvlJc w:val="left"/>
      <w:pPr>
        <w:ind w:left="0" w:firstLine="0"/>
      </w:pPr>
      <w:rPr>
        <w:rFonts w:hint="eastAsia"/>
      </w:rPr>
    </w:lvl>
    <w:lvl w:ilvl="4" w:tentative="0">
      <w:start w:val="1"/>
      <w:numFmt w:val="decimal"/>
      <w:lvlText w:val="%2.%3.%4.%5."/>
      <w:lvlJc w:val="left"/>
      <w:pPr>
        <w:ind w:left="0" w:firstLine="0"/>
      </w:pPr>
      <w:rPr>
        <w:rFonts w:hint="eastAsia"/>
      </w:rPr>
    </w:lvl>
    <w:lvl w:ilvl="5" w:tentative="0">
      <w:start w:val="1"/>
      <w:numFmt w:val="decimal"/>
      <w:isLgl/>
      <w:lvlText w:val="%2.%3.%4.%5.%6."/>
      <w:lvlJc w:val="left"/>
      <w:pPr>
        <w:ind w:left="0" w:firstLine="0"/>
      </w:pPr>
      <w:rPr>
        <w:rFonts w:hint="eastAsia" w:ascii="宋体" w:hAnsi="宋体" w:eastAsia="宋体" w:cs="Times New Roman"/>
        <w:b/>
        <w:bCs w:val="0"/>
        <w:i w:val="0"/>
        <w:iCs w:val="0"/>
        <w:caps w:val="0"/>
        <w:smallCaps w:val="0"/>
        <w:strike w:val="0"/>
        <w:dstrike w:val="0"/>
        <w:vanish w:val="0"/>
        <w:spacing w:val="0"/>
        <w:position w:val="0"/>
        <w:sz w:val="24"/>
        <w:u w:val="none"/>
        <w:vertAlign w:val="baseline"/>
      </w:rPr>
    </w:lvl>
    <w:lvl w:ilvl="6" w:tentative="0">
      <w:start w:val="1"/>
      <w:numFmt w:val="decimal"/>
      <w:isLg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0E7D59"/>
    <w:rsid w:val="7A0E7D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imes New Roman"/>
      <w:sz w:val="22"/>
      <w:szCs w:val="22"/>
      <w:lang w:val="en-US" w:eastAsia="zh-CN" w:bidi="ar-SA"/>
    </w:rPr>
  </w:style>
  <w:style w:type="paragraph" w:styleId="3">
    <w:name w:val="heading 1"/>
    <w:basedOn w:val="1"/>
    <w:next w:val="1"/>
    <w:qFormat/>
    <w:uiPriority w:val="0"/>
    <w:pPr>
      <w:keepNext/>
      <w:keepLines/>
      <w:widowControl w:val="0"/>
      <w:numPr>
        <w:ilvl w:val="0"/>
        <w:numId w:val="1"/>
      </w:numPr>
      <w:adjustRightInd/>
      <w:snapToGrid/>
      <w:spacing w:beforeLines="50" w:afterLines="50" w:line="360" w:lineRule="auto"/>
      <w:outlineLvl w:val="0"/>
    </w:pPr>
    <w:rPr>
      <w:rFonts w:ascii="Times New Roman" w:hAnsi="Times New Roman" w:eastAsia="宋体"/>
      <w:b/>
      <w:kern w:val="44"/>
      <w:sz w:val="32"/>
      <w:szCs w:val="24"/>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2023-04-25T07:28:00Z</dcterms:created>
  <dc:creator>Administrator</dc:creator>
  <cp:lastModifiedBy>Administrator</cp:lastModifiedBy>
  <dcterms:modified xsi:type="dcterms:W3CDTF">2023-04-25T07:29:29Z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2EB27EB9872F42AC935212A1966B39F1</vt:lpwstr>
  </property>
</Properties>
</file>