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衢州市城市资产经营有限公司关于注入房产公允价值评估和股权评估竞价</w:t>
      </w:r>
    </w:p>
    <w:p>
      <w:pPr>
        <w:jc w:val="center"/>
        <w:rPr>
          <w:rFonts w:hint="eastAsia" w:eastAsia="黑体"/>
          <w:b/>
          <w:bCs/>
          <w:sz w:val="36"/>
        </w:rPr>
      </w:pPr>
      <w:r>
        <w:rPr>
          <w:rFonts w:hint="eastAsia" w:eastAsia="黑体"/>
          <w:b/>
          <w:bCs/>
          <w:sz w:val="36"/>
        </w:rPr>
        <w:t xml:space="preserve"> </w:t>
      </w:r>
      <w:r>
        <w:rPr>
          <w:rFonts w:hint="eastAsia" w:eastAsia="黑体"/>
          <w:b/>
          <w:bCs/>
          <w:sz w:val="36"/>
          <w:lang w:val="en-US" w:eastAsia="zh-CN"/>
        </w:rPr>
        <w:t xml:space="preserve">项 目 </w:t>
      </w:r>
      <w:r>
        <w:rPr>
          <w:rFonts w:hint="eastAsia" w:eastAsia="黑体"/>
          <w:b/>
          <w:bCs/>
          <w:sz w:val="36"/>
        </w:rPr>
        <w:t xml:space="preserve">采 购 </w:t>
      </w:r>
      <w:r>
        <w:rPr>
          <w:rFonts w:hint="eastAsia" w:eastAsia="黑体"/>
          <w:b/>
          <w:bCs/>
          <w:sz w:val="36"/>
          <w:lang w:val="en-US" w:eastAsia="zh-CN"/>
        </w:rPr>
        <w:t>竞</w:t>
      </w:r>
      <w:r>
        <w:rPr>
          <w:rFonts w:hint="eastAsia" w:eastAsia="黑体"/>
          <w:b/>
          <w:bCs/>
          <w:sz w:val="36"/>
        </w:rPr>
        <w:t xml:space="preserve"> 价 单</w:t>
      </w:r>
    </w:p>
    <w:p>
      <w:pPr>
        <w:spacing w:line="280" w:lineRule="exact"/>
        <w:rPr>
          <w:rFonts w:hint="eastAsia"/>
          <w:sz w:val="24"/>
        </w:rPr>
      </w:pPr>
      <w:r>
        <w:rPr>
          <w:rFonts w:hint="eastAsia"/>
          <w:sz w:val="24"/>
        </w:rPr>
        <w:t>本单位需</w:t>
      </w:r>
      <w:r>
        <w:rPr>
          <w:rFonts w:hint="eastAsia"/>
          <w:sz w:val="24"/>
          <w:lang w:eastAsia="zh-CN"/>
        </w:rPr>
        <w:t>对</w:t>
      </w:r>
      <w:r>
        <w:rPr>
          <w:rFonts w:hint="eastAsia"/>
          <w:sz w:val="24"/>
        </w:rPr>
        <w:t xml:space="preserve">如下 </w:t>
      </w:r>
      <w:r>
        <w:rPr>
          <w:rFonts w:hint="eastAsia"/>
          <w:sz w:val="24"/>
          <w:u w:val="single"/>
        </w:rPr>
        <w:t xml:space="preserve"> </w:t>
      </w:r>
      <w:r>
        <w:rPr>
          <w:rFonts w:hint="eastAsia"/>
          <w:sz w:val="24"/>
          <w:u w:val="single"/>
          <w:lang w:val="en-US" w:eastAsia="zh-CN"/>
        </w:rPr>
        <w:t>衢州市城市资产经营有限公司关于国资委第三批行政事业单位房产注入房产公允价值评估和股权评估项目</w:t>
      </w:r>
      <w:r>
        <w:rPr>
          <w:rFonts w:hint="eastAsia"/>
          <w:sz w:val="24"/>
          <w:u w:val="single"/>
        </w:rPr>
        <w:t xml:space="preserve"> </w:t>
      </w:r>
      <w:r>
        <w:rPr>
          <w:rFonts w:hint="eastAsia"/>
          <w:sz w:val="24"/>
          <w:lang w:val="en-US" w:eastAsia="zh-CN"/>
        </w:rPr>
        <w:t>进行</w:t>
      </w:r>
      <w:r>
        <w:rPr>
          <w:rFonts w:hint="eastAsia"/>
          <w:sz w:val="24"/>
        </w:rPr>
        <w:t>采购，望你公司于</w:t>
      </w:r>
      <w:r>
        <w:rPr>
          <w:rFonts w:hint="eastAsia"/>
          <w:sz w:val="24"/>
          <w:u w:val="single"/>
        </w:rPr>
        <w:t xml:space="preserve"> </w:t>
      </w:r>
      <w:r>
        <w:rPr>
          <w:rFonts w:hint="eastAsia"/>
          <w:sz w:val="24"/>
          <w:u w:val="single"/>
          <w:lang w:val="en-US" w:eastAsia="zh-CN"/>
        </w:rPr>
        <w:t>2021</w:t>
      </w:r>
      <w:r>
        <w:rPr>
          <w:rFonts w:hint="eastAsia"/>
          <w:sz w:val="24"/>
          <w:u w:val="single"/>
        </w:rPr>
        <w:t xml:space="preserve">  </w:t>
      </w:r>
      <w:r>
        <w:rPr>
          <w:rFonts w:hint="eastAsia"/>
          <w:sz w:val="24"/>
        </w:rPr>
        <w:t>年</w:t>
      </w:r>
      <w:r>
        <w:rPr>
          <w:rFonts w:hint="eastAsia"/>
          <w:sz w:val="24"/>
          <w:u w:val="single"/>
          <w:lang w:val="en-US" w:eastAsia="zh-CN"/>
        </w:rPr>
        <w:t>10</w:t>
      </w:r>
      <w:r>
        <w:rPr>
          <w:rFonts w:hint="eastAsia"/>
          <w:sz w:val="24"/>
          <w:u w:val="single"/>
        </w:rPr>
        <w:t xml:space="preserve"> </w:t>
      </w:r>
      <w:r>
        <w:rPr>
          <w:rFonts w:hint="eastAsia"/>
          <w:sz w:val="24"/>
        </w:rPr>
        <w:t>月</w:t>
      </w:r>
      <w:r>
        <w:rPr>
          <w:rFonts w:hint="eastAsia"/>
          <w:sz w:val="24"/>
          <w:u w:val="single"/>
        </w:rPr>
        <w:t xml:space="preserve"> </w:t>
      </w:r>
      <w:r>
        <w:rPr>
          <w:rFonts w:hint="eastAsia"/>
          <w:sz w:val="24"/>
          <w:u w:val="single"/>
          <w:lang w:val="en-US" w:eastAsia="zh-CN"/>
        </w:rPr>
        <w:t>29</w:t>
      </w:r>
      <w:r>
        <w:rPr>
          <w:rFonts w:hint="eastAsia"/>
          <w:sz w:val="24"/>
          <w:u w:val="single"/>
        </w:rPr>
        <w:t xml:space="preserve"> </w:t>
      </w:r>
      <w:r>
        <w:rPr>
          <w:rFonts w:hint="eastAsia"/>
          <w:sz w:val="24"/>
        </w:rPr>
        <w:t>日17时前将本</w:t>
      </w:r>
      <w:r>
        <w:rPr>
          <w:rFonts w:hint="eastAsia"/>
          <w:sz w:val="24"/>
          <w:lang w:val="en-US" w:eastAsia="zh-CN"/>
        </w:rPr>
        <w:t>竞</w:t>
      </w:r>
      <w:r>
        <w:rPr>
          <w:rFonts w:hint="eastAsia"/>
          <w:sz w:val="24"/>
        </w:rPr>
        <w:t>价单提交给我单位。</w:t>
      </w:r>
    </w:p>
    <w:tbl>
      <w:tblPr>
        <w:tblStyle w:val="3"/>
        <w:tblW w:w="145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4577"/>
        <w:gridCol w:w="1157"/>
        <w:gridCol w:w="17"/>
        <w:gridCol w:w="1815"/>
        <w:gridCol w:w="2835"/>
        <w:gridCol w:w="2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5" w:hRule="atLeast"/>
          <w:jc w:val="center"/>
        </w:trPr>
        <w:tc>
          <w:tcPr>
            <w:tcW w:w="1525" w:type="dxa"/>
            <w:noWrap w:val="0"/>
            <w:vAlign w:val="center"/>
          </w:tcPr>
          <w:p>
            <w:pPr>
              <w:spacing w:line="280" w:lineRule="exact"/>
              <w:jc w:val="center"/>
              <w:rPr>
                <w:rFonts w:hint="eastAsia" w:eastAsia="宋体"/>
                <w:b/>
                <w:bCs/>
                <w:sz w:val="24"/>
                <w:lang w:eastAsia="zh-CN"/>
              </w:rPr>
            </w:pPr>
            <w:r>
              <w:rPr>
                <w:rFonts w:hint="eastAsia"/>
                <w:b/>
                <w:bCs/>
                <w:sz w:val="24"/>
                <w:lang w:val="en-US" w:eastAsia="zh-CN"/>
              </w:rPr>
              <w:t>序号</w:t>
            </w:r>
          </w:p>
        </w:tc>
        <w:tc>
          <w:tcPr>
            <w:tcW w:w="4577" w:type="dxa"/>
            <w:noWrap w:val="0"/>
            <w:vAlign w:val="center"/>
          </w:tcPr>
          <w:p>
            <w:pPr>
              <w:spacing w:line="280" w:lineRule="exact"/>
              <w:jc w:val="center"/>
              <w:rPr>
                <w:rFonts w:hint="default" w:eastAsia="宋体"/>
                <w:b/>
                <w:bCs/>
                <w:sz w:val="24"/>
                <w:lang w:val="en-US" w:eastAsia="zh-CN"/>
              </w:rPr>
            </w:pPr>
            <w:r>
              <w:rPr>
                <w:rFonts w:hint="eastAsia"/>
                <w:b/>
                <w:bCs/>
                <w:sz w:val="24"/>
                <w:lang w:val="en-US" w:eastAsia="zh-CN"/>
              </w:rPr>
              <w:t>采购项目详情</w:t>
            </w:r>
          </w:p>
        </w:tc>
        <w:tc>
          <w:tcPr>
            <w:tcW w:w="1174" w:type="dxa"/>
            <w:gridSpan w:val="2"/>
            <w:noWrap w:val="0"/>
            <w:vAlign w:val="center"/>
          </w:tcPr>
          <w:p>
            <w:pPr>
              <w:spacing w:line="280" w:lineRule="exact"/>
              <w:jc w:val="center"/>
              <w:rPr>
                <w:rFonts w:hint="eastAsia"/>
                <w:b/>
                <w:bCs/>
                <w:sz w:val="24"/>
              </w:rPr>
            </w:pPr>
            <w:r>
              <w:rPr>
                <w:rFonts w:hint="eastAsia"/>
                <w:b/>
                <w:bCs/>
                <w:sz w:val="24"/>
              </w:rPr>
              <w:t>单位</w:t>
            </w:r>
          </w:p>
        </w:tc>
        <w:tc>
          <w:tcPr>
            <w:tcW w:w="1815" w:type="dxa"/>
            <w:noWrap w:val="0"/>
            <w:vAlign w:val="center"/>
          </w:tcPr>
          <w:p>
            <w:pPr>
              <w:spacing w:line="280" w:lineRule="exact"/>
              <w:jc w:val="center"/>
              <w:rPr>
                <w:rFonts w:hint="eastAsia" w:eastAsia="宋体"/>
                <w:b/>
                <w:bCs/>
                <w:sz w:val="24"/>
                <w:lang w:eastAsia="zh-CN"/>
              </w:rPr>
            </w:pPr>
            <w:r>
              <w:rPr>
                <w:rFonts w:hint="eastAsia"/>
                <w:b/>
                <w:bCs/>
                <w:sz w:val="24"/>
              </w:rPr>
              <w:t>数量</w:t>
            </w:r>
          </w:p>
        </w:tc>
        <w:tc>
          <w:tcPr>
            <w:tcW w:w="2835" w:type="dxa"/>
            <w:noWrap w:val="0"/>
            <w:vAlign w:val="center"/>
          </w:tcPr>
          <w:p>
            <w:pPr>
              <w:spacing w:line="280" w:lineRule="exact"/>
              <w:jc w:val="center"/>
              <w:rPr>
                <w:rFonts w:hint="eastAsia" w:eastAsia="宋体"/>
                <w:b/>
                <w:bCs/>
                <w:sz w:val="24"/>
                <w:lang w:val="en-US" w:eastAsia="zh-CN"/>
              </w:rPr>
            </w:pPr>
            <w:r>
              <w:rPr>
                <w:rFonts w:hint="eastAsia"/>
                <w:b/>
                <w:bCs/>
                <w:sz w:val="24"/>
                <w:lang w:val="en-US" w:eastAsia="zh-CN"/>
              </w:rPr>
              <w:t>报价</w:t>
            </w:r>
          </w:p>
        </w:tc>
        <w:tc>
          <w:tcPr>
            <w:tcW w:w="2626" w:type="dxa"/>
            <w:noWrap w:val="0"/>
            <w:vAlign w:val="center"/>
          </w:tcPr>
          <w:p>
            <w:pPr>
              <w:spacing w:line="280" w:lineRule="exact"/>
              <w:jc w:val="center"/>
              <w:rPr>
                <w:rFonts w:hint="eastAsia" w:eastAsia="宋体"/>
                <w:b/>
                <w:bCs/>
                <w:sz w:val="24"/>
                <w:lang w:eastAsia="zh-CN"/>
              </w:rPr>
            </w:pPr>
            <w:r>
              <w:rPr>
                <w:rFonts w:hint="eastAsia"/>
                <w:b/>
                <w:bCs/>
                <w:sz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4" w:hRule="atLeast"/>
          <w:jc w:val="center"/>
        </w:trPr>
        <w:tc>
          <w:tcPr>
            <w:tcW w:w="1525" w:type="dxa"/>
            <w:noWrap w:val="0"/>
            <w:vAlign w:val="center"/>
          </w:tcPr>
          <w:p>
            <w:pPr>
              <w:spacing w:line="280" w:lineRule="exact"/>
              <w:rPr>
                <w:rFonts w:hint="eastAsia"/>
                <w:sz w:val="24"/>
                <w:lang w:val="en-US" w:eastAsia="zh-CN"/>
              </w:rPr>
            </w:pPr>
            <w:r>
              <w:rPr>
                <w:rFonts w:hint="eastAsia"/>
                <w:sz w:val="24"/>
                <w:lang w:val="en-US" w:eastAsia="zh-CN"/>
              </w:rPr>
              <w:t>1</w:t>
            </w:r>
          </w:p>
        </w:tc>
        <w:tc>
          <w:tcPr>
            <w:tcW w:w="4577" w:type="dxa"/>
            <w:noWrap w:val="0"/>
            <w:vAlign w:val="center"/>
          </w:tcPr>
          <w:p>
            <w:pPr>
              <w:spacing w:line="280" w:lineRule="exact"/>
              <w:rPr>
                <w:rFonts w:hint="default"/>
                <w:sz w:val="24"/>
                <w:lang w:val="en-US" w:eastAsia="zh-CN"/>
              </w:rPr>
            </w:pPr>
            <w:r>
              <w:rPr>
                <w:rFonts w:hint="eastAsia"/>
                <w:sz w:val="24"/>
                <w:u w:val="none"/>
                <w:lang w:val="en-US" w:eastAsia="zh-CN"/>
              </w:rPr>
              <w:t>衢州市城市资产经营有限公司关于国资委第三批行政事业单位房产注入房产公允价值评估和股权评估</w:t>
            </w:r>
            <w:r>
              <w:rPr>
                <w:rFonts w:hint="eastAsia"/>
                <w:sz w:val="24"/>
                <w:lang w:val="en-US" w:eastAsia="zh-CN"/>
              </w:rPr>
              <w:t>，出具评估报告（此报价含评估过程中的餐费、住宿等所有为完成本项目的所有费用，采购人不再为本项目支付任何其他费用）</w:t>
            </w:r>
          </w:p>
        </w:tc>
        <w:tc>
          <w:tcPr>
            <w:tcW w:w="1174" w:type="dxa"/>
            <w:gridSpan w:val="2"/>
            <w:noWrap w:val="0"/>
            <w:vAlign w:val="center"/>
          </w:tcPr>
          <w:p>
            <w:pPr>
              <w:spacing w:line="280" w:lineRule="exact"/>
              <w:jc w:val="center"/>
              <w:rPr>
                <w:rFonts w:hint="default" w:eastAsia="宋体"/>
                <w:sz w:val="24"/>
                <w:lang w:val="en-US" w:eastAsia="zh-CN"/>
              </w:rPr>
            </w:pPr>
            <w:r>
              <w:rPr>
                <w:rFonts w:hint="eastAsia"/>
                <w:sz w:val="24"/>
                <w:lang w:val="en-US" w:eastAsia="zh-CN"/>
              </w:rPr>
              <w:t>项</w:t>
            </w:r>
          </w:p>
        </w:tc>
        <w:tc>
          <w:tcPr>
            <w:tcW w:w="1815" w:type="dxa"/>
            <w:noWrap w:val="0"/>
            <w:vAlign w:val="center"/>
          </w:tcPr>
          <w:p>
            <w:pPr>
              <w:spacing w:line="280" w:lineRule="exact"/>
              <w:jc w:val="center"/>
              <w:rPr>
                <w:rFonts w:hint="eastAsia"/>
                <w:sz w:val="24"/>
              </w:rPr>
            </w:pPr>
            <w:r>
              <w:rPr>
                <w:rFonts w:hint="eastAsia"/>
                <w:sz w:val="24"/>
                <w:lang w:val="en-US" w:eastAsia="zh-CN"/>
              </w:rPr>
              <w:t>1</w:t>
            </w:r>
          </w:p>
        </w:tc>
        <w:tc>
          <w:tcPr>
            <w:tcW w:w="2835" w:type="dxa"/>
            <w:noWrap w:val="0"/>
            <w:vAlign w:val="center"/>
          </w:tcPr>
          <w:p>
            <w:pPr>
              <w:spacing w:line="280" w:lineRule="exact"/>
              <w:jc w:val="center"/>
              <w:rPr>
                <w:rFonts w:hint="eastAsia"/>
                <w:sz w:val="24"/>
              </w:rPr>
            </w:pPr>
          </w:p>
        </w:tc>
        <w:tc>
          <w:tcPr>
            <w:tcW w:w="2626" w:type="dxa"/>
            <w:noWrap w:val="0"/>
            <w:vAlign w:val="center"/>
          </w:tcPr>
          <w:p>
            <w:pPr>
              <w:spacing w:line="280" w:lineRule="exact"/>
              <w:jc w:val="center"/>
              <w:rPr>
                <w:rFonts w:hint="default" w:eastAsia="宋体"/>
                <w:sz w:val="24"/>
                <w:lang w:val="en-US" w:eastAsia="zh-CN"/>
              </w:rPr>
            </w:pPr>
            <w:r>
              <w:rPr>
                <w:rFonts w:hint="eastAsia"/>
                <w:sz w:val="24"/>
                <w:lang w:val="en-US" w:eastAsia="zh-CN"/>
              </w:rPr>
              <w:t>具体评估范围详见附件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0" w:hRule="atLeast"/>
          <w:jc w:val="center"/>
        </w:trPr>
        <w:tc>
          <w:tcPr>
            <w:tcW w:w="1525" w:type="dxa"/>
            <w:noWrap w:val="0"/>
            <w:vAlign w:val="center"/>
          </w:tcPr>
          <w:p>
            <w:pPr>
              <w:spacing w:line="280" w:lineRule="exact"/>
              <w:jc w:val="center"/>
              <w:rPr>
                <w:rFonts w:hint="eastAsia"/>
                <w:sz w:val="24"/>
              </w:rPr>
            </w:pPr>
            <w:r>
              <w:rPr>
                <w:rFonts w:hint="eastAsia"/>
                <w:sz w:val="24"/>
              </w:rPr>
              <w:t>采购单位</w:t>
            </w:r>
          </w:p>
        </w:tc>
        <w:tc>
          <w:tcPr>
            <w:tcW w:w="5734" w:type="dxa"/>
            <w:gridSpan w:val="2"/>
            <w:noWrap w:val="0"/>
            <w:vAlign w:val="top"/>
          </w:tcPr>
          <w:p>
            <w:pPr>
              <w:spacing w:line="280" w:lineRule="exact"/>
              <w:rPr>
                <w:rFonts w:hint="eastAsia"/>
                <w:sz w:val="24"/>
                <w:lang w:val="en-US" w:eastAsia="zh-CN"/>
              </w:rPr>
            </w:pPr>
          </w:p>
          <w:p>
            <w:pPr>
              <w:spacing w:line="280" w:lineRule="exact"/>
              <w:rPr>
                <w:rFonts w:hint="default" w:eastAsia="宋体"/>
                <w:sz w:val="24"/>
                <w:lang w:val="en-US" w:eastAsia="zh-CN"/>
              </w:rPr>
            </w:pPr>
            <w:r>
              <w:rPr>
                <w:rFonts w:hint="eastAsia"/>
                <w:sz w:val="24"/>
                <w:lang w:val="en-US" w:eastAsia="zh-CN"/>
              </w:rPr>
              <w:t>衢州市城市资产经营有限公司</w:t>
            </w:r>
          </w:p>
          <w:p>
            <w:pPr>
              <w:spacing w:line="280" w:lineRule="exact"/>
              <w:rPr>
                <w:rFonts w:hint="eastAsia"/>
                <w:sz w:val="24"/>
              </w:rPr>
            </w:pPr>
            <w:r>
              <w:rPr>
                <w:rFonts w:hint="eastAsia"/>
                <w:sz w:val="24"/>
              </w:rPr>
              <w:t>联系人：</w:t>
            </w:r>
            <w:r>
              <w:rPr>
                <w:rFonts w:hint="eastAsia"/>
                <w:sz w:val="24"/>
                <w:lang w:val="en-US" w:eastAsia="zh-CN"/>
              </w:rPr>
              <w:t>张晓丽</w:t>
            </w:r>
            <w:r>
              <w:rPr>
                <w:rFonts w:hint="eastAsia"/>
                <w:sz w:val="24"/>
              </w:rPr>
              <w:t xml:space="preserve">       </w:t>
            </w:r>
          </w:p>
          <w:p>
            <w:pPr>
              <w:spacing w:line="280" w:lineRule="exact"/>
              <w:rPr>
                <w:rFonts w:hint="default" w:eastAsia="宋体"/>
                <w:sz w:val="24"/>
                <w:lang w:val="en-US" w:eastAsia="zh-CN"/>
              </w:rPr>
            </w:pPr>
            <w:r>
              <w:rPr>
                <w:rFonts w:hint="eastAsia"/>
                <w:sz w:val="24"/>
              </w:rPr>
              <w:t>联系电话：</w:t>
            </w:r>
            <w:r>
              <w:rPr>
                <w:rFonts w:hint="eastAsia"/>
                <w:sz w:val="24"/>
                <w:lang w:val="en-US" w:eastAsia="zh-CN"/>
              </w:rPr>
              <w:t>18957011713</w:t>
            </w:r>
          </w:p>
          <w:p>
            <w:pPr>
              <w:spacing w:line="280" w:lineRule="exact"/>
              <w:rPr>
                <w:rFonts w:hint="eastAsia"/>
                <w:sz w:val="24"/>
              </w:rPr>
            </w:pPr>
          </w:p>
          <w:p>
            <w:pPr>
              <w:spacing w:line="280" w:lineRule="exact"/>
              <w:jc w:val="both"/>
              <w:rPr>
                <w:rFonts w:hint="eastAsia"/>
                <w:sz w:val="24"/>
              </w:rPr>
            </w:pPr>
            <w:r>
              <w:rPr>
                <w:rFonts w:hint="eastAsia"/>
                <w:sz w:val="24"/>
              </w:rPr>
              <w:t xml:space="preserve">                 </w:t>
            </w:r>
            <w:r>
              <w:rPr>
                <w:rFonts w:hint="eastAsia"/>
                <w:sz w:val="24"/>
                <w:lang w:val="en-US" w:eastAsia="zh-CN"/>
              </w:rPr>
              <w:t>2021</w:t>
            </w:r>
            <w:r>
              <w:rPr>
                <w:rFonts w:hint="eastAsia"/>
                <w:sz w:val="24"/>
              </w:rPr>
              <w:t>年</w:t>
            </w:r>
            <w:r>
              <w:rPr>
                <w:rFonts w:hint="eastAsia"/>
                <w:sz w:val="24"/>
                <w:lang w:val="en-US" w:eastAsia="zh-CN"/>
              </w:rPr>
              <w:t>10</w:t>
            </w:r>
            <w:r>
              <w:rPr>
                <w:rFonts w:hint="eastAsia"/>
                <w:sz w:val="24"/>
              </w:rPr>
              <w:t>月</w:t>
            </w:r>
            <w:r>
              <w:rPr>
                <w:rFonts w:hint="eastAsia"/>
                <w:sz w:val="24"/>
                <w:lang w:val="en-US" w:eastAsia="zh-CN"/>
              </w:rPr>
              <w:t>27</w:t>
            </w:r>
            <w:r>
              <w:rPr>
                <w:rFonts w:hint="eastAsia"/>
                <w:sz w:val="24"/>
              </w:rPr>
              <w:t>日（盖章）</w:t>
            </w:r>
          </w:p>
        </w:tc>
        <w:tc>
          <w:tcPr>
            <w:tcW w:w="1832" w:type="dxa"/>
            <w:gridSpan w:val="2"/>
            <w:noWrap w:val="0"/>
            <w:vAlign w:val="center"/>
          </w:tcPr>
          <w:p>
            <w:pPr>
              <w:spacing w:line="280" w:lineRule="exact"/>
              <w:jc w:val="center"/>
              <w:rPr>
                <w:rFonts w:hint="eastAsia"/>
                <w:sz w:val="24"/>
              </w:rPr>
            </w:pPr>
          </w:p>
          <w:p>
            <w:pPr>
              <w:spacing w:line="280" w:lineRule="exact"/>
              <w:jc w:val="center"/>
              <w:rPr>
                <w:rFonts w:hint="eastAsia"/>
                <w:sz w:val="24"/>
              </w:rPr>
            </w:pPr>
          </w:p>
          <w:p>
            <w:pPr>
              <w:spacing w:line="280" w:lineRule="exact"/>
              <w:jc w:val="center"/>
              <w:rPr>
                <w:rFonts w:hint="eastAsia" w:eastAsia="宋体"/>
                <w:sz w:val="24"/>
                <w:lang w:val="en-US" w:eastAsia="zh-CN"/>
              </w:rPr>
            </w:pPr>
            <w:r>
              <w:rPr>
                <w:rFonts w:hint="eastAsia"/>
                <w:sz w:val="24"/>
              </w:rPr>
              <w:t>供</w:t>
            </w:r>
            <w:r>
              <w:rPr>
                <w:rFonts w:hint="eastAsia"/>
                <w:sz w:val="24"/>
                <w:lang w:val="en-US" w:eastAsia="zh-CN"/>
              </w:rPr>
              <w:t>应</w:t>
            </w:r>
            <w:r>
              <w:rPr>
                <w:rFonts w:hint="eastAsia"/>
                <w:sz w:val="24"/>
              </w:rPr>
              <w:t>商</w:t>
            </w:r>
            <w:r>
              <w:rPr>
                <w:rFonts w:hint="eastAsia"/>
                <w:sz w:val="24"/>
                <w:lang w:val="en-US" w:eastAsia="zh-CN"/>
              </w:rPr>
              <w:t>名称</w:t>
            </w:r>
          </w:p>
          <w:p>
            <w:pPr>
              <w:spacing w:line="280" w:lineRule="exact"/>
              <w:ind w:firstLine="2280" w:firstLineChars="950"/>
              <w:jc w:val="center"/>
              <w:rPr>
                <w:rFonts w:hint="eastAsia"/>
                <w:sz w:val="24"/>
              </w:rPr>
            </w:pPr>
          </w:p>
          <w:p>
            <w:pPr>
              <w:spacing w:line="280" w:lineRule="exact"/>
              <w:ind w:firstLine="2280" w:firstLineChars="950"/>
              <w:jc w:val="center"/>
              <w:rPr>
                <w:rFonts w:hint="eastAsia"/>
                <w:sz w:val="24"/>
              </w:rPr>
            </w:pPr>
          </w:p>
        </w:tc>
        <w:tc>
          <w:tcPr>
            <w:tcW w:w="5461" w:type="dxa"/>
            <w:gridSpan w:val="2"/>
            <w:noWrap w:val="0"/>
            <w:vAlign w:val="top"/>
          </w:tcPr>
          <w:p>
            <w:pPr>
              <w:spacing w:line="280" w:lineRule="exact"/>
              <w:ind w:left="181" w:leftChars="86"/>
              <w:rPr>
                <w:rFonts w:hint="eastAsia"/>
                <w:sz w:val="24"/>
              </w:rPr>
            </w:pPr>
          </w:p>
          <w:p>
            <w:pPr>
              <w:spacing w:line="280" w:lineRule="exact"/>
              <w:ind w:left="181" w:leftChars="86"/>
              <w:rPr>
                <w:rFonts w:hint="eastAsia"/>
                <w:sz w:val="24"/>
              </w:rPr>
            </w:pPr>
          </w:p>
          <w:p>
            <w:pPr>
              <w:spacing w:line="280" w:lineRule="exact"/>
              <w:ind w:left="181" w:leftChars="86"/>
              <w:rPr>
                <w:rFonts w:hint="eastAsia"/>
                <w:sz w:val="24"/>
              </w:rPr>
            </w:pPr>
            <w:r>
              <w:rPr>
                <w:rFonts w:hint="eastAsia"/>
                <w:sz w:val="24"/>
              </w:rPr>
              <w:t xml:space="preserve">联系人：           </w:t>
            </w:r>
          </w:p>
          <w:p>
            <w:pPr>
              <w:spacing w:line="280" w:lineRule="exact"/>
              <w:ind w:left="181" w:leftChars="86"/>
              <w:rPr>
                <w:rFonts w:hint="eastAsia"/>
                <w:sz w:val="24"/>
              </w:rPr>
            </w:pPr>
            <w:r>
              <w:rPr>
                <w:rFonts w:hint="eastAsia"/>
                <w:sz w:val="24"/>
              </w:rPr>
              <w:t>联系电话：</w:t>
            </w:r>
          </w:p>
          <w:p>
            <w:pPr>
              <w:widowControl/>
              <w:spacing w:line="280" w:lineRule="exact"/>
              <w:jc w:val="left"/>
              <w:rPr>
                <w:sz w:val="24"/>
              </w:rPr>
            </w:pPr>
          </w:p>
          <w:p>
            <w:pPr>
              <w:spacing w:line="280" w:lineRule="exact"/>
              <w:ind w:firstLine="960" w:firstLineChars="400"/>
              <w:rPr>
                <w:rFonts w:hint="eastAsia"/>
                <w:sz w:val="24"/>
              </w:rPr>
            </w:pPr>
            <w:r>
              <w:rPr>
                <w:rFonts w:hint="eastAsia"/>
                <w:sz w:val="24"/>
              </w:rPr>
              <w:t xml:space="preserve">     </w:t>
            </w:r>
            <w:r>
              <w:rPr>
                <w:rFonts w:hint="eastAsia"/>
                <w:sz w:val="24"/>
                <w:lang w:val="en-US" w:eastAsia="zh-CN"/>
              </w:rPr>
              <w:t>2021</w:t>
            </w:r>
            <w:r>
              <w:rPr>
                <w:rFonts w:hint="eastAsia"/>
                <w:sz w:val="24"/>
              </w:rPr>
              <w:t>年   月   日（盖章）</w:t>
            </w:r>
          </w:p>
        </w:tc>
      </w:tr>
    </w:tbl>
    <w:p>
      <w:pPr>
        <w:spacing w:line="240" w:lineRule="exact"/>
        <w:rPr>
          <w:rFonts w:hint="eastAsia"/>
          <w:sz w:val="24"/>
          <w:lang w:val="en-US" w:eastAsia="zh-CN"/>
        </w:rPr>
      </w:pPr>
    </w:p>
    <w:p>
      <w:pPr>
        <w:spacing w:line="240" w:lineRule="exact"/>
        <w:rPr>
          <w:rFonts w:hint="default" w:eastAsia="宋体"/>
          <w:sz w:val="24"/>
          <w:lang w:val="en-US" w:eastAsia="zh-CN"/>
        </w:rPr>
      </w:pPr>
      <w:r>
        <w:rPr>
          <w:rFonts w:hint="eastAsia"/>
          <w:sz w:val="24"/>
          <w:lang w:val="en-US" w:eastAsia="zh-CN"/>
        </w:rPr>
        <w:t>送达地点：衢州市城市资产经营有限公司</w:t>
      </w:r>
    </w:p>
    <w:p>
      <w:pPr>
        <w:spacing w:line="280" w:lineRule="exact"/>
        <w:ind w:left="840" w:hanging="840" w:hangingChars="350"/>
        <w:rPr>
          <w:rFonts w:hint="default" w:ascii="宋体" w:hAnsi="宋体" w:cs="Arial"/>
          <w:kern w:val="0"/>
          <w:sz w:val="24"/>
          <w:lang w:val="en-US" w:eastAsia="zh-CN"/>
        </w:rPr>
      </w:pPr>
      <w:r>
        <w:rPr>
          <w:rFonts w:hint="eastAsia"/>
          <w:sz w:val="24"/>
        </w:rPr>
        <w:t>注：1、</w:t>
      </w:r>
      <w:r>
        <w:rPr>
          <w:rFonts w:hint="eastAsia"/>
          <w:sz w:val="24"/>
          <w:lang w:val="en-US" w:eastAsia="zh-CN"/>
        </w:rPr>
        <w:t>本次竞价最高限价18万元，超出最高限价的无效，报价最低者中标</w:t>
      </w:r>
      <w:r>
        <w:rPr>
          <w:rFonts w:hint="eastAsia" w:ascii="宋体" w:hAnsi="宋体" w:cs="Arial"/>
          <w:kern w:val="0"/>
          <w:sz w:val="24"/>
        </w:rPr>
        <w:t>。</w:t>
      </w:r>
    </w:p>
    <w:p>
      <w:pPr>
        <w:numPr>
          <w:ilvl w:val="0"/>
          <w:numId w:val="1"/>
        </w:numPr>
        <w:spacing w:line="280" w:lineRule="exact"/>
        <w:ind w:left="900" w:leftChars="0" w:hanging="480" w:firstLineChars="0"/>
        <w:rPr>
          <w:rFonts w:hint="default"/>
          <w:lang w:val="en-US"/>
        </w:rPr>
      </w:pPr>
      <w:r>
        <w:rPr>
          <w:rFonts w:hint="eastAsia"/>
          <w:sz w:val="24"/>
        </w:rPr>
        <w:t>本询价单是采购单位最终确定供货商的主要依据，由采购单位和供货商共同填写，</w:t>
      </w:r>
      <w:r>
        <w:rPr>
          <w:rFonts w:hint="eastAsia" w:ascii="宋体" w:hAnsi="宋体" w:cs="Arial"/>
          <w:kern w:val="0"/>
          <w:sz w:val="24"/>
        </w:rPr>
        <w:t>填写内容必须按要求清晰完整，如有涂改，应加盖公章</w:t>
      </w:r>
      <w:r>
        <w:rPr>
          <w:rFonts w:hint="eastAsia" w:ascii="宋体" w:hAnsi="宋体" w:cs="Arial"/>
          <w:kern w:val="0"/>
          <w:sz w:val="24"/>
          <w:lang w:eastAsia="zh-CN"/>
        </w:rPr>
        <w:t>。</w:t>
      </w:r>
    </w:p>
    <w:p>
      <w:pPr>
        <w:numPr>
          <w:ilvl w:val="0"/>
          <w:numId w:val="1"/>
        </w:numPr>
        <w:spacing w:line="280" w:lineRule="exact"/>
        <w:ind w:left="900" w:leftChars="0" w:hanging="480" w:firstLineChars="0"/>
        <w:rPr>
          <w:rFonts w:hint="eastAsia" w:ascii="宋体" w:hAnsi="宋体" w:eastAsia="宋体" w:cs="宋体"/>
          <w:sz w:val="24"/>
          <w:szCs w:val="24"/>
          <w:lang w:val="en-US"/>
        </w:rPr>
      </w:pPr>
      <w:r>
        <w:rPr>
          <w:rFonts w:hint="eastAsia" w:ascii="宋体" w:hAnsi="宋体" w:eastAsia="宋体" w:cs="宋体"/>
          <w:b w:val="0"/>
          <w:i w:val="0"/>
          <w:caps w:val="0"/>
          <w:color w:val="000000"/>
          <w:spacing w:val="0"/>
          <w:kern w:val="0"/>
          <w:sz w:val="24"/>
          <w:szCs w:val="24"/>
          <w:shd w:val="clear" w:color="auto" w:fill="FFFFFF"/>
          <w:lang w:val="en-US" w:eastAsia="zh-CN" w:bidi="ar"/>
        </w:rPr>
        <w:t>本次交易要求供应商须具备独立法人资格</w:t>
      </w:r>
      <w:r>
        <w:rPr>
          <w:rFonts w:hint="eastAsia" w:ascii="宋体" w:hAnsi="宋体" w:eastAsia="宋体" w:cs="宋体"/>
          <w:b w:val="0"/>
          <w:i w:val="0"/>
          <w:caps w:val="0"/>
          <w:color w:val="000000"/>
          <w:spacing w:val="0"/>
          <w:kern w:val="0"/>
          <w:sz w:val="24"/>
          <w:szCs w:val="24"/>
          <w:highlight w:val="none"/>
          <w:shd w:val="clear" w:color="auto" w:fill="FFFFFF"/>
          <w:lang w:val="en-US" w:eastAsia="zh-CN" w:bidi="ar"/>
        </w:rPr>
        <w:t>，营业执照具备资产评估、股权价值评估等相关经营范围，并具有资产、股权价值评估相关经验，</w:t>
      </w:r>
      <w:r>
        <w:rPr>
          <w:rFonts w:hint="eastAsia" w:ascii="宋体" w:hAnsi="宋体" w:eastAsia="宋体" w:cs="宋体"/>
          <w:kern w:val="0"/>
          <w:sz w:val="24"/>
          <w:szCs w:val="24"/>
          <w:lang w:val="en-US" w:eastAsia="zh-CN"/>
        </w:rPr>
        <w:t>确保</w:t>
      </w:r>
      <w:r>
        <w:rPr>
          <w:rFonts w:hint="eastAsia" w:ascii="宋体" w:hAnsi="宋体" w:eastAsia="宋体" w:cs="宋体"/>
          <w:kern w:val="0"/>
          <w:sz w:val="24"/>
          <w:szCs w:val="24"/>
          <w:lang w:val="en-US" w:eastAsia="zh-CN" w:bidi="ar-SA"/>
        </w:rPr>
        <w:t>资产评估报告于2021年11月25</w:t>
      </w:r>
      <w:bookmarkStart w:id="0" w:name="_GoBack"/>
      <w:bookmarkEnd w:id="0"/>
      <w:r>
        <w:rPr>
          <w:rFonts w:hint="eastAsia" w:ascii="宋体" w:hAnsi="宋体" w:eastAsia="宋体" w:cs="宋体"/>
          <w:kern w:val="0"/>
          <w:sz w:val="24"/>
          <w:szCs w:val="24"/>
          <w:lang w:val="en-US" w:eastAsia="zh-CN" w:bidi="ar-SA"/>
        </w:rPr>
        <w:t>日之前提交。</w:t>
      </w:r>
    </w:p>
    <w:p>
      <w:pPr>
        <w:numPr>
          <w:ilvl w:val="0"/>
          <w:numId w:val="0"/>
        </w:numPr>
        <w:spacing w:line="280" w:lineRule="exact"/>
        <w:ind w:left="420" w:leftChars="0"/>
        <w:rPr>
          <w:rFonts w:hint="eastAsia" w:ascii="宋体" w:hAnsi="宋体" w:eastAsia="宋体" w:cs="宋体"/>
          <w:sz w:val="24"/>
          <w:szCs w:val="24"/>
          <w:lang w:val="en-US"/>
        </w:rPr>
      </w:pPr>
      <w:r>
        <w:rPr>
          <w:rFonts w:hint="eastAsia" w:ascii="宋体" w:hAnsi="宋体" w:eastAsia="宋体" w:cs="宋体"/>
          <w:kern w:val="0"/>
          <w:sz w:val="24"/>
          <w:szCs w:val="24"/>
          <w:lang w:val="en-US" w:eastAsia="zh-CN"/>
        </w:rPr>
        <w:t>4、供货商如未将本询价单在询价截止时间前提交给采购单位，视同自动放弃参与本次供货的权力。</w:t>
      </w:r>
    </w:p>
    <w:p>
      <w:pPr>
        <w:numPr>
          <w:ilvl w:val="0"/>
          <w:numId w:val="0"/>
        </w:numPr>
        <w:spacing w:line="280" w:lineRule="exact"/>
        <w:ind w:left="420" w:left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5、评估范围：本次房产评估范围为资产公司第三批行政事业单位注入房产1071宗（详见附件）；股权评估对象为市资产公司股东全部权益价值，评估范围为资产公司的全部资产和负债。</w:t>
      </w:r>
    </w:p>
    <w:p>
      <w:pPr>
        <w:numPr>
          <w:ilvl w:val="0"/>
          <w:numId w:val="0"/>
        </w:numPr>
        <w:spacing w:line="280" w:lineRule="exact"/>
        <w:ind w:left="420" w:left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6、付款方式：本项目采用先服务后付款的方式，价格包干，完成资产评估报告并经业主审核同意后一次性支付；（具体以合同为准）。</w:t>
      </w:r>
    </w:p>
    <w:p>
      <w:pPr>
        <w:numPr>
          <w:ilvl w:val="0"/>
          <w:numId w:val="2"/>
        </w:numPr>
        <w:spacing w:line="280" w:lineRule="exact"/>
        <w:ind w:left="420" w:left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发票要求提供增值税专用发票。</w:t>
      </w:r>
    </w:p>
    <w:p>
      <w:pPr>
        <w:numPr>
          <w:ilvl w:val="0"/>
          <w:numId w:val="2"/>
        </w:numPr>
        <w:spacing w:line="280" w:lineRule="exact"/>
        <w:ind w:left="420" w:left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附件：2021年注入房产明细表。</w:t>
      </w:r>
    </w:p>
    <w:p>
      <w:pPr>
        <w:jc w:val="center"/>
        <w:rPr>
          <w:rFonts w:hint="eastAsia" w:eastAsia="黑体"/>
          <w:b/>
          <w:bCs/>
          <w:sz w:val="36"/>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34CC35"/>
    <w:multiLevelType w:val="singleLevel"/>
    <w:tmpl w:val="2F34CC35"/>
    <w:lvl w:ilvl="0" w:tentative="0">
      <w:start w:val="7"/>
      <w:numFmt w:val="decimal"/>
      <w:suff w:val="nothing"/>
      <w:lvlText w:val="%1、"/>
      <w:lvlJc w:val="left"/>
    </w:lvl>
  </w:abstractNum>
  <w:abstractNum w:abstractNumId="1">
    <w:nsid w:val="3058683F"/>
    <w:multiLevelType w:val="singleLevel"/>
    <w:tmpl w:val="3058683F"/>
    <w:lvl w:ilvl="0" w:tentative="0">
      <w:start w:val="2"/>
      <w:numFmt w:val="decimal"/>
      <w:suff w:val="nothing"/>
      <w:lvlText w:val="%1、"/>
      <w:lvlJc w:val="left"/>
      <w:pPr>
        <w:ind w:left="-48"/>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E51F95"/>
    <w:rsid w:val="2C6A1022"/>
    <w:rsid w:val="460645B9"/>
    <w:rsid w:val="494A2590"/>
    <w:rsid w:val="4DEA00D4"/>
    <w:rsid w:val="6C225445"/>
    <w:rsid w:val="6FE51F95"/>
    <w:rsid w:val="72B10489"/>
    <w:rsid w:val="7DA03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宋体" w:hAnsi="宋体"/>
      <w:b/>
      <w:bCs/>
      <w:sz w:val="32"/>
      <w:szCs w:val="36"/>
    </w:rPr>
  </w:style>
  <w:style w:type="paragraph" w:customStyle="1" w:styleId="5">
    <w:name w:val="表格文字"/>
    <w:basedOn w:val="1"/>
    <w:next w:val="2"/>
    <w:qFormat/>
    <w:uiPriority w:val="0"/>
    <w:pPr>
      <w:spacing w:line="420" w:lineRule="atLeast"/>
      <w:textAlignment w:val="baseline"/>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2021-10-22T06:46:00Z</dcterms:created>
  <dc:creator>210105</dc:creator>
  <cp:lastModifiedBy>桃花侠大战菊花怪</cp:lastModifiedBy>
  <dcterms:modified xsi:type="dcterms:W3CDTF">2021-10-27T00:17:12Z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83AB077D09D444D7AA68D7FF5791DFA1</vt:lpwstr>
  </property>
</Properties>
</file>