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jc w:val="center"/>
        <w:rPr>
          <w:rFonts w:asciiTheme="majorEastAsia" w:hAnsiTheme="majorEastAsia" w:eastAsiaTheme="majorEastAsia" w:cstheme="majorEastAsia"/>
          <w:b/>
          <w:kern w:val="2"/>
          <w:sz w:val="36"/>
          <w:szCs w:val="36"/>
        </w:rPr>
      </w:pPr>
      <w:r>
        <w:rPr>
          <w:rFonts w:hint="eastAsia" w:asciiTheme="majorEastAsia" w:hAnsiTheme="majorEastAsia" w:eastAsiaTheme="majorEastAsia" w:cstheme="majorEastAsia"/>
          <w:b/>
          <w:kern w:val="2"/>
          <w:sz w:val="36"/>
          <w:szCs w:val="36"/>
        </w:rPr>
        <w:t>水亭门一期消防报警系统改造提升工程</w:t>
      </w:r>
    </w:p>
    <w:p>
      <w:pPr>
        <w:spacing w:after="0" w:line="560" w:lineRule="exact"/>
        <w:jc w:val="center"/>
        <w:rPr>
          <w:rFonts w:hint="eastAsia" w:asciiTheme="majorEastAsia" w:hAnsiTheme="majorEastAsia" w:eastAsiaTheme="majorEastAsia" w:cstheme="majorEastAsia"/>
          <w:b/>
          <w:kern w:val="2"/>
          <w:sz w:val="36"/>
          <w:szCs w:val="36"/>
        </w:rPr>
      </w:pPr>
      <w:r>
        <w:rPr>
          <w:rFonts w:hint="eastAsia" w:asciiTheme="majorEastAsia" w:hAnsiTheme="majorEastAsia" w:eastAsiaTheme="majorEastAsia" w:cstheme="majorEastAsia"/>
          <w:b/>
          <w:kern w:val="2"/>
          <w:sz w:val="36"/>
          <w:szCs w:val="36"/>
        </w:rPr>
        <w:t>竞争性磋商文件</w:t>
      </w:r>
    </w:p>
    <w:p>
      <w:pPr>
        <w:snapToGrid/>
        <w:spacing w:after="0"/>
        <w:jc w:val="center"/>
        <w:rPr>
          <w:rFonts w:hint="eastAsia" w:asciiTheme="majorEastAsia" w:hAnsiTheme="majorEastAsia" w:eastAsiaTheme="majorEastAsia" w:cstheme="majorEastAsia"/>
          <w:b/>
          <w:bCs/>
          <w:color w:val="000000"/>
          <w:sz w:val="36"/>
          <w:szCs w:val="36"/>
        </w:rPr>
      </w:pPr>
      <w:r>
        <w:rPr>
          <w:rFonts w:hint="eastAsia" w:asciiTheme="majorEastAsia" w:hAnsiTheme="majorEastAsia" w:eastAsiaTheme="majorEastAsia" w:cstheme="majorEastAsia"/>
          <w:b/>
          <w:bCs/>
          <w:color w:val="000000"/>
          <w:sz w:val="36"/>
          <w:szCs w:val="36"/>
        </w:rPr>
        <w:t>第一部分  公告</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根据《中华人民共和国招标投标法》、《政府采购货物和服务招标磋商管理办法》等规定，衢州市城市资产经营有限公司以竞争性磋商方式对水亭门一期消防报警系统改造提升工程进行招标，欢迎合格的供应商参加。</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一、</w:t>
      </w:r>
      <w:r>
        <w:rPr>
          <w:rFonts w:hint="eastAsia" w:ascii="仿宋_GB2312" w:hAnsi="仿宋" w:eastAsia="仿宋_GB2312" w:cs="仿宋"/>
          <w:b/>
          <w:bCs/>
          <w:color w:val="000000"/>
          <w:sz w:val="28"/>
          <w:szCs w:val="28"/>
        </w:rPr>
        <w:t>磋商项目概况：</w:t>
      </w:r>
    </w:p>
    <w:p>
      <w:pPr>
        <w:pStyle w:val="2"/>
        <w:snapToGrid/>
        <w:spacing w:after="0" w:line="240" w:lineRule="auto"/>
        <w:ind w:firstLine="56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我公司水亭门一期消防系统目前消防报警点位约2000个左右，因报警点位地址延用2013年门牌号已于现在不符，需重新编程录入主机，以确保报警地址准确。另外，将加装CRT图形显示系统，以提升街区消防安全设施配置。但由于历史原因，公司只能提供纸质版消防系统竣工图，房屋内部消防系统存在与图纸不符情况，需在现有基础上对图纸进行整理完善，制作与实际相符的CRD图纸。项目预算17万元。</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二、磋商供应商的资格要求：</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1.符合《中华人民共和国政府采购法》第二十二条的规定：</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2、具备独立法人资格，且具有消防设施工程专业承包二级资质或消防设施维护保养检测机构二级资质（含临时二级资质）；</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3、要求服务供应商为衢州市当地或是在当地设有分公司；</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4、本项目不接受供应商以联合体形式参与。</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5.单位负责人为同一人或者存在直接控股、管理关系的不同供应商，不得参加同一合同项下的政府采购活动；</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三、竞争性磋商文件的获取：</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本磋商文件和补充（答疑、澄清）、修改文件请到衢州市柯城区新安路51号北大楼三楼经营科办公室领取。</w:t>
      </w:r>
    </w:p>
    <w:p>
      <w:pPr>
        <w:snapToGrid/>
        <w:spacing w:after="0"/>
        <w:ind w:firstLine="562" w:firstLineChars="200"/>
        <w:rPr>
          <w:rFonts w:hint="eastAsia" w:ascii="仿宋_GB2312" w:hAnsi="仿宋" w:eastAsia="仿宋_GB2312" w:cs="仿宋"/>
          <w:b/>
          <w:bCs/>
          <w:color w:val="000000"/>
          <w:sz w:val="28"/>
          <w:szCs w:val="28"/>
          <w:lang w:val="zh-CN"/>
        </w:rPr>
      </w:pPr>
      <w:r>
        <w:rPr>
          <w:rFonts w:hint="eastAsia" w:ascii="仿宋_GB2312" w:hAnsi="仿宋" w:eastAsia="仿宋_GB2312" w:cs="仿宋"/>
          <w:b/>
          <w:bCs/>
          <w:color w:val="000000"/>
          <w:sz w:val="28"/>
          <w:szCs w:val="28"/>
        </w:rPr>
        <w:t>四、报名时应提供以下资料：</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三证（五证）合一的营业执照副本（如未合一的供应商提供营业执照、组织机构代码证、税务登记证）原件及复印件加盖单位公章，原件核验后当场退回；</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2、法人授权委托书或介绍信原件、受委托人身份证原件及复印件加盖单位公章，原件核验后当场退回（授权书上须明确授权代表姓名、采购项目名称、项目编号、联系电话、传真）。</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3、企业资质证书原件及复印件加盖单位公章，原件核验后当场退回。</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3、报名时间 ：2019年7月</w:t>
      </w:r>
      <w:r>
        <w:rPr>
          <w:rFonts w:hint="eastAsia" w:ascii="仿宋_GB2312" w:hAnsi="仿宋" w:eastAsia="仿宋_GB2312" w:cs="仿宋"/>
          <w:color w:val="000000"/>
          <w:sz w:val="28"/>
          <w:szCs w:val="28"/>
          <w:lang w:val="en-US" w:eastAsia="zh-CN"/>
        </w:rPr>
        <w:t>10</w:t>
      </w:r>
      <w:r>
        <w:rPr>
          <w:rFonts w:hint="eastAsia" w:ascii="仿宋_GB2312" w:hAnsi="仿宋" w:eastAsia="仿宋_GB2312" w:cs="仿宋"/>
          <w:color w:val="000000"/>
          <w:sz w:val="28"/>
          <w:szCs w:val="28"/>
        </w:rPr>
        <w:t>日至2019年7月</w:t>
      </w:r>
      <w:r>
        <w:rPr>
          <w:rFonts w:hint="eastAsia" w:ascii="仿宋_GB2312" w:hAnsi="仿宋" w:eastAsia="仿宋_GB2312" w:cs="仿宋"/>
          <w:color w:val="000000"/>
          <w:sz w:val="28"/>
          <w:szCs w:val="28"/>
          <w:lang w:val="en-US" w:eastAsia="zh-CN"/>
        </w:rPr>
        <w:t>17</w:t>
      </w:r>
      <w:r>
        <w:rPr>
          <w:rFonts w:hint="eastAsia" w:ascii="仿宋_GB2312" w:hAnsi="仿宋" w:eastAsia="仿宋_GB2312" w:cs="仿宋"/>
          <w:color w:val="000000"/>
          <w:sz w:val="28"/>
          <w:szCs w:val="28"/>
        </w:rPr>
        <w:t>日（工作时间上午8：30-11：30，下午14：00-17：00，节假日除外）。</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4、地点：衢州市柯城区新安路51号北大楼三楼。</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五、磋商响应文件递交截止时间和地点：</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投标人应于2019年7月</w:t>
      </w:r>
      <w:r>
        <w:rPr>
          <w:rFonts w:hint="eastAsia" w:ascii="仿宋_GB2312" w:hAnsi="仿宋" w:eastAsia="仿宋_GB2312" w:cs="仿宋"/>
          <w:color w:val="000000"/>
          <w:sz w:val="28"/>
          <w:szCs w:val="28"/>
          <w:lang w:val="en-US" w:eastAsia="zh-CN"/>
        </w:rPr>
        <w:t>18</w:t>
      </w:r>
      <w:r>
        <w:rPr>
          <w:rFonts w:hint="eastAsia" w:ascii="仿宋_GB2312" w:hAnsi="仿宋" w:eastAsia="仿宋_GB2312" w:cs="仿宋"/>
          <w:color w:val="000000"/>
          <w:sz w:val="28"/>
          <w:szCs w:val="28"/>
        </w:rPr>
        <w:t xml:space="preserve">日09 ：30时前将磋商文件密封送交到衢州市城市资产经营有限公司 （衢州市区新安路51号）三楼会议室，逾期送达或未密封将予以拒收。    </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六、磋商响应时间和地点：</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本次采购将于2019年7月</w:t>
      </w:r>
      <w:r>
        <w:rPr>
          <w:rFonts w:hint="eastAsia" w:ascii="仿宋_GB2312" w:hAnsi="仿宋" w:eastAsia="仿宋_GB2312" w:cs="仿宋"/>
          <w:color w:val="000000"/>
          <w:sz w:val="28"/>
          <w:szCs w:val="28"/>
          <w:lang w:val="en-US" w:eastAsia="zh-CN"/>
        </w:rPr>
        <w:t>18</w:t>
      </w:r>
      <w:r>
        <w:rPr>
          <w:rFonts w:hint="eastAsia" w:ascii="仿宋_GB2312" w:hAnsi="仿宋" w:eastAsia="仿宋_GB2312" w:cs="仿宋"/>
          <w:color w:val="000000"/>
          <w:sz w:val="28"/>
          <w:szCs w:val="28"/>
        </w:rPr>
        <w:t>日 09:30时在衢州市城市资产经营有限公司 （衢州市区新安路51号）三楼会议室。</w:t>
      </w:r>
    </w:p>
    <w:p>
      <w:pPr>
        <w:snapToGrid/>
        <w:spacing w:after="0"/>
        <w:ind w:firstLine="562" w:firstLineChars="200"/>
        <w:rPr>
          <w:rFonts w:hint="eastAsia" w:ascii="仿宋_GB2312" w:hAnsi="仿宋" w:eastAsia="仿宋_GB2312" w:cs="仿宋"/>
          <w:color w:val="000000"/>
          <w:sz w:val="28"/>
          <w:szCs w:val="28"/>
        </w:rPr>
      </w:pPr>
      <w:r>
        <w:rPr>
          <w:rFonts w:hint="eastAsia" w:ascii="仿宋_GB2312" w:hAnsi="仿宋" w:eastAsia="仿宋_GB2312" w:cs="仿宋"/>
          <w:b/>
          <w:bCs/>
          <w:color w:val="000000"/>
          <w:sz w:val="28"/>
          <w:szCs w:val="28"/>
        </w:rPr>
        <w:t>七、本公告发：</w:t>
      </w:r>
    </w:p>
    <w:p>
      <w:pPr>
        <w:snapToGrid/>
        <w:spacing w:after="0"/>
        <w:ind w:firstLine="560" w:firstLineChars="200"/>
        <w:rPr>
          <w:rFonts w:hint="eastAsia" w:ascii="仿宋_GB2312" w:hAnsi="仿宋" w:eastAsia="仿宋_GB2312" w:cs="仿宋"/>
          <w:color w:val="000000"/>
          <w:sz w:val="24"/>
          <w:szCs w:val="24"/>
        </w:rPr>
      </w:pPr>
      <w:r>
        <w:rPr>
          <w:rFonts w:hint="eastAsia" w:ascii="仿宋_GB2312" w:hAnsi="仿宋" w:eastAsia="仿宋_GB2312" w:cs="仿宋"/>
          <w:color w:val="000000"/>
          <w:sz w:val="28"/>
          <w:szCs w:val="28"/>
        </w:rPr>
        <w:fldChar w:fldCharType="begin"/>
      </w:r>
      <w:r>
        <w:rPr>
          <w:rFonts w:hint="eastAsia" w:ascii="仿宋_GB2312" w:hAnsi="仿宋" w:eastAsia="仿宋_GB2312" w:cs="仿宋"/>
          <w:color w:val="000000"/>
          <w:sz w:val="28"/>
          <w:szCs w:val="28"/>
        </w:rPr>
        <w:instrText xml:space="preserve"> HYPERLINK "http://www.qzct.org.cn/about.aspx?Id=2" </w:instrText>
      </w:r>
      <w:r>
        <w:rPr>
          <w:rFonts w:hint="eastAsia" w:ascii="仿宋_GB2312" w:hAnsi="仿宋" w:eastAsia="仿宋_GB2312" w:cs="仿宋"/>
          <w:color w:val="000000"/>
          <w:sz w:val="28"/>
          <w:szCs w:val="28"/>
        </w:rPr>
        <w:fldChar w:fldCharType="separate"/>
      </w:r>
      <w:r>
        <w:rPr>
          <w:rFonts w:hint="eastAsia" w:ascii="仿宋_GB2312" w:hAnsi="仿宋" w:eastAsia="仿宋_GB2312" w:cs="仿宋"/>
          <w:color w:val="000000"/>
          <w:sz w:val="28"/>
          <w:szCs w:val="28"/>
        </w:rPr>
        <w:t>衢州市城市建设投资集团有限公司</w:t>
      </w:r>
      <w:r>
        <w:rPr>
          <w:rFonts w:hint="eastAsia" w:ascii="仿宋_GB2312" w:hAnsi="仿宋" w:eastAsia="仿宋_GB2312" w:cs="仿宋"/>
          <w:color w:val="000000"/>
          <w:sz w:val="28"/>
          <w:szCs w:val="28"/>
        </w:rPr>
        <w:fldChar w:fldCharType="end"/>
      </w:r>
      <w:r>
        <w:rPr>
          <w:rFonts w:hint="eastAsia" w:ascii="仿宋_GB2312" w:hAnsi="仿宋" w:eastAsia="仿宋_GB2312" w:cs="仿宋"/>
          <w:color w:val="000000"/>
          <w:sz w:val="28"/>
          <w:szCs w:val="28"/>
        </w:rPr>
        <w:t>官</w:t>
      </w:r>
      <w:r>
        <w:rPr>
          <w:rFonts w:hint="eastAsia" w:ascii="仿宋_GB2312" w:hAnsi="仿宋" w:eastAsia="仿宋_GB2312" w:cs="仿宋"/>
          <w:color w:val="000000"/>
          <w:sz w:val="28"/>
          <w:szCs w:val="28"/>
          <w:lang w:val="en-US" w:eastAsia="zh-CN"/>
        </w:rPr>
        <w:t>网</w:t>
      </w:r>
      <w:bookmarkStart w:id="0" w:name="_GoBack"/>
      <w:bookmarkEnd w:id="0"/>
      <w:r>
        <w:rPr>
          <w:rFonts w:hint="eastAsia" w:ascii="仿宋_GB2312" w:hAnsi="仿宋" w:eastAsia="仿宋_GB2312" w:cs="仿宋"/>
          <w:color w:val="000000"/>
          <w:sz w:val="24"/>
          <w:szCs w:val="24"/>
        </w:rPr>
        <w:t>（http://www.qzct.org.cn/）</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八、其他：</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 xml:space="preserve">1、供应商如认为磋商文件使自身的合法权益受到损害的，应于自磋商文件发布公告之日起三个工作日内以书面形式向采购单位提出质疑。供应商如认为采购过程或采购结果的产生过程存在违法行为，使自身的合法权益受到损害的，可以在知道或者应知权益受到损害之日起七个工作日内，以书面形式向采购单位提出质疑,供应商对采购单位的质疑答复不满意或者采购单位未在规定时间内作出答复的，可以在答复期满后十五个工作日内向资产公司纪检投诉（联系电话：0570-8037228，联系人：王先生 ）。 </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2、采购人要求成交候选人在申报费用支付时须开具增值税专用发票，前来响应的供应商须提前考虑。</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九、业务咨询</w:t>
      </w:r>
    </w:p>
    <w:p>
      <w:pPr>
        <w:snapToGrid/>
        <w:spacing w:after="0"/>
        <w:ind w:firstLine="560" w:firstLineChars="200"/>
        <w:rPr>
          <w:rFonts w:hint="eastAsia" w:ascii="仿宋_GB2312" w:hAnsi="仿宋" w:eastAsia="仿宋_GB2312" w:cs="仿宋"/>
          <w:color w:val="000000"/>
          <w:sz w:val="28"/>
          <w:szCs w:val="28"/>
          <w:lang w:val="en-US" w:eastAsia="zh-CN"/>
        </w:rPr>
      </w:pPr>
      <w:r>
        <w:rPr>
          <w:rFonts w:hint="eastAsia" w:ascii="仿宋_GB2312" w:hAnsi="仿宋" w:eastAsia="仿宋_GB2312" w:cs="仿宋"/>
          <w:color w:val="000000"/>
          <w:sz w:val="28"/>
          <w:szCs w:val="28"/>
        </w:rPr>
        <w:t>联系人：</w:t>
      </w:r>
      <w:r>
        <w:rPr>
          <w:rFonts w:hint="eastAsia" w:ascii="仿宋_GB2312" w:hAnsi="仿宋" w:eastAsia="仿宋_GB2312" w:cs="仿宋"/>
          <w:color w:val="000000"/>
          <w:sz w:val="28"/>
          <w:szCs w:val="28"/>
          <w:lang w:val="en-US" w:eastAsia="zh-CN"/>
        </w:rPr>
        <w:t xml:space="preserve">  王晓东</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val="en-US" w:eastAsia="zh-CN"/>
        </w:rPr>
        <w:t xml:space="preserve">  </w:t>
      </w:r>
      <w:r>
        <w:rPr>
          <w:rFonts w:hint="eastAsia" w:ascii="仿宋_GB2312" w:hAnsi="仿宋" w:eastAsia="仿宋_GB2312" w:cs="仿宋"/>
          <w:color w:val="000000"/>
          <w:sz w:val="28"/>
          <w:szCs w:val="28"/>
        </w:rPr>
        <w:t>联系电话：</w:t>
      </w:r>
      <w:r>
        <w:rPr>
          <w:rFonts w:hint="eastAsia" w:ascii="仿宋_GB2312" w:hAnsi="仿宋" w:eastAsia="仿宋_GB2312" w:cs="仿宋"/>
          <w:color w:val="000000"/>
          <w:sz w:val="28"/>
          <w:szCs w:val="28"/>
          <w:lang w:val="en-US" w:eastAsia="zh-CN"/>
        </w:rPr>
        <w:t>13957032396</w:t>
      </w:r>
    </w:p>
    <w:p>
      <w:pPr>
        <w:pStyle w:val="2"/>
        <w:rPr>
          <w:rFonts w:hint="default"/>
          <w:lang w:val="en-US" w:eastAsia="zh-CN"/>
        </w:rPr>
      </w:pPr>
      <w:r>
        <w:rPr>
          <w:rFonts w:hint="eastAsia" w:ascii="仿宋_GB2312" w:hAnsi="仿宋" w:eastAsia="仿宋_GB2312" w:cs="仿宋"/>
          <w:color w:val="000000"/>
          <w:sz w:val="28"/>
          <w:szCs w:val="28"/>
          <w:lang w:val="en-US" w:eastAsia="zh-CN"/>
        </w:rPr>
        <w:t xml:space="preserve">    报名电话：郭先生；  联系电话：18057082089</w:t>
      </w:r>
    </w:p>
    <w:p>
      <w:pPr>
        <w:keepNext w:val="0"/>
        <w:keepLines w:val="0"/>
        <w:pageBreakBefore w:val="0"/>
        <w:widowControl/>
        <w:kinsoku/>
        <w:wordWrap/>
        <w:overflowPunct/>
        <w:topLinePunct w:val="0"/>
        <w:autoSpaceDE/>
        <w:autoSpaceDN/>
        <w:bidi w:val="0"/>
        <w:adjustRightInd w:val="0"/>
        <w:snapToGrid/>
        <w:spacing w:after="0" w:line="320" w:lineRule="exact"/>
        <w:ind w:firstLine="560" w:firstLineChars="200"/>
        <w:textAlignment w:val="auto"/>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 xml:space="preserve">                             衢州市城市资产经营有限公司</w:t>
      </w:r>
    </w:p>
    <w:p>
      <w:pPr>
        <w:keepNext w:val="0"/>
        <w:keepLines w:val="0"/>
        <w:pageBreakBefore w:val="0"/>
        <w:widowControl/>
        <w:kinsoku/>
        <w:wordWrap/>
        <w:overflowPunct/>
        <w:topLinePunct w:val="0"/>
        <w:autoSpaceDE/>
        <w:autoSpaceDN/>
        <w:bidi w:val="0"/>
        <w:adjustRightInd w:val="0"/>
        <w:snapToGrid/>
        <w:spacing w:after="0" w:line="320" w:lineRule="exact"/>
        <w:ind w:firstLine="560" w:firstLineChars="200"/>
        <w:textAlignment w:val="auto"/>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 xml:space="preserve">                                        2019年7月8日</w:t>
      </w: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asciiTheme="majorEastAsia" w:hAnsiTheme="majorEastAsia" w:eastAsiaTheme="majorEastAsia" w:cstheme="majorEastAsia"/>
          <w:b/>
          <w:bCs/>
          <w:color w:val="000000"/>
          <w:sz w:val="36"/>
          <w:szCs w:val="36"/>
        </w:rPr>
      </w:pPr>
      <w:r>
        <w:rPr>
          <w:rFonts w:hint="eastAsia" w:asciiTheme="majorEastAsia" w:hAnsiTheme="majorEastAsia" w:eastAsiaTheme="majorEastAsia" w:cstheme="majorEastAsia"/>
          <w:b/>
          <w:bCs/>
          <w:color w:val="000000"/>
          <w:sz w:val="36"/>
          <w:szCs w:val="36"/>
        </w:rPr>
        <w:t>第二部分 磋商须知</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一、磋商须知前附表</w:t>
      </w:r>
    </w:p>
    <w:tbl>
      <w:tblPr>
        <w:tblStyle w:val="13"/>
        <w:tblpPr w:leftFromText="180" w:rightFromText="180" w:vertAnchor="text" w:horzAnchor="page" w:tblpX="1182" w:tblpY="234"/>
        <w:tblOverlap w:val="never"/>
        <w:tblW w:w="97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59"/>
        <w:gridCol w:w="7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709" w:type="dxa"/>
            <w:vAlign w:val="center"/>
          </w:tcPr>
          <w:p>
            <w:pPr>
              <w:snapToGrid/>
              <w:spacing w:after="0"/>
              <w:jc w:val="center"/>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序号</w:t>
            </w:r>
          </w:p>
        </w:tc>
        <w:tc>
          <w:tcPr>
            <w:tcW w:w="1559" w:type="dxa"/>
            <w:vAlign w:val="center"/>
          </w:tcPr>
          <w:p>
            <w:pPr>
              <w:snapToGrid/>
              <w:spacing w:after="0"/>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内容</w:t>
            </w:r>
          </w:p>
        </w:tc>
        <w:tc>
          <w:tcPr>
            <w:tcW w:w="7522" w:type="dxa"/>
            <w:vAlign w:val="center"/>
          </w:tcPr>
          <w:p>
            <w:pPr>
              <w:snapToGrid/>
              <w:spacing w:after="0"/>
              <w:jc w:val="center"/>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采购人</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衢州市城市资产经营有限公司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项目名称</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水亭门一期消防报警系统改造提升工程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预算价</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预算总价17万元.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施工</w:t>
            </w:r>
            <w:r>
              <w:rPr>
                <w:rFonts w:hint="eastAsia" w:ascii="仿宋_GB2312" w:hAnsi="仿宋" w:eastAsia="仿宋_GB2312" w:cs="仿宋"/>
                <w:color w:val="000000"/>
                <w:sz w:val="28"/>
                <w:szCs w:val="28"/>
                <w:lang w:val="zh-CN"/>
              </w:rPr>
              <w:t>期限</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5</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提交答疑截止时间</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2019年7月  日17：30止（北京时间）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6</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采购结果公告期限</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trPr>
        <w:tc>
          <w:tcPr>
            <w:tcW w:w="709" w:type="dxa"/>
            <w:tcBorders>
              <w:bottom w:val="single" w:color="auto" w:sz="4" w:space="0"/>
            </w:tcBorders>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7</w:t>
            </w:r>
          </w:p>
        </w:tc>
        <w:tc>
          <w:tcPr>
            <w:tcW w:w="1559" w:type="dxa"/>
            <w:tcBorders>
              <w:bottom w:val="single" w:color="auto" w:sz="4" w:space="0"/>
            </w:tcBorders>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签订合同</w:t>
            </w:r>
          </w:p>
        </w:tc>
        <w:tc>
          <w:tcPr>
            <w:tcW w:w="7522" w:type="dxa"/>
            <w:tcBorders>
              <w:bottom w:val="single" w:color="auto" w:sz="4" w:space="0"/>
            </w:tcBorders>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发出成交通知书7个工作日内。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709" w:type="dxa"/>
            <w:shd w:val="clear" w:color="auto" w:fill="FFFFFF"/>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8</w:t>
            </w:r>
          </w:p>
        </w:tc>
        <w:tc>
          <w:tcPr>
            <w:tcW w:w="1559" w:type="dxa"/>
            <w:shd w:val="clear" w:color="auto" w:fill="FFFFFF"/>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履约保证金</w:t>
            </w:r>
          </w:p>
        </w:tc>
        <w:tc>
          <w:tcPr>
            <w:tcW w:w="7522" w:type="dxa"/>
            <w:shd w:val="clear" w:color="auto" w:fill="FFFFFF"/>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在合同签订前，成交供应商向采购人支付5000元的履约保证金。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9</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履约保证金及退还</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施工结束验收合格后无息退还。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10</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磋商有效期</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磋商有效期为：90个日历天(从磋商截止之日算起)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密封、装订要求</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磋商供应商应将磋商响应文件按规定包装密封，封口处应有磋商供应商公章及法定代表人或其授权代表盖章（或签字）。如磋商响应文件未密封，则不予受理。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12</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公告及澄清文件发布网址</w:t>
            </w:r>
          </w:p>
        </w:tc>
        <w:tc>
          <w:tcPr>
            <w:tcW w:w="7522" w:type="dxa"/>
            <w:vAlign w:val="center"/>
          </w:tcPr>
          <w:p>
            <w:pPr>
              <w:snapToGrid/>
              <w:spacing w:after="0"/>
              <w:rPr>
                <w:rFonts w:hint="eastAsia" w:ascii="仿宋_GB2312" w:hAnsi="仿宋" w:eastAsia="仿宋_GB2312" w:cs="仿宋"/>
                <w:color w:val="000000"/>
                <w:sz w:val="28"/>
                <w:szCs w:val="28"/>
              </w:rPr>
            </w:pPr>
            <w:r>
              <w:fldChar w:fldCharType="begin"/>
            </w:r>
            <w:r>
              <w:instrText xml:space="preserve"> HYPERLINK "http://www.qzct.org.cn/about.aspx?Id=2" </w:instrText>
            </w:r>
            <w:r>
              <w:fldChar w:fldCharType="separate"/>
            </w:r>
            <w:r>
              <w:rPr>
                <w:rStyle w:val="16"/>
                <w:rFonts w:hint="eastAsia" w:ascii="仿宋_GB2312" w:hAnsi="微软雅黑" w:eastAsia="仿宋_GB2312" w:cs="微软雅黑"/>
                <w:color w:val="2D2D2D"/>
                <w:sz w:val="28"/>
                <w:szCs w:val="28"/>
                <w:shd w:val="clear" w:color="auto" w:fill="FFFFFF"/>
              </w:rPr>
              <w:t>衢州市城市建设投资集团有限公司</w:t>
            </w:r>
            <w:r>
              <w:rPr>
                <w:rStyle w:val="16"/>
                <w:rFonts w:hint="eastAsia" w:ascii="仿宋_GB2312" w:hAnsi="微软雅黑" w:eastAsia="仿宋_GB2312" w:cs="微软雅黑"/>
                <w:color w:val="2D2D2D"/>
                <w:sz w:val="28"/>
                <w:szCs w:val="28"/>
                <w:shd w:val="clear" w:color="auto" w:fill="FFFFFF"/>
              </w:rPr>
              <w:fldChar w:fldCharType="end"/>
            </w:r>
            <w:r>
              <w:rPr>
                <w:rFonts w:hint="eastAsia" w:ascii="仿宋_GB2312" w:hAnsi="微软雅黑" w:eastAsia="仿宋_GB2312" w:cs="微软雅黑"/>
                <w:color w:val="2D2D2D"/>
                <w:sz w:val="28"/>
                <w:szCs w:val="28"/>
                <w:shd w:val="clear" w:color="auto" w:fill="FFFFFF"/>
              </w:rPr>
              <w:t>官</w:t>
            </w:r>
            <w:r>
              <w:rPr>
                <w:rFonts w:hint="eastAsia" w:ascii="仿宋_GB2312" w:hAnsi="仿宋" w:eastAsia="仿宋_GB2312" w:cs="仿宋"/>
                <w:color w:val="000000"/>
                <w:sz w:val="28"/>
                <w:szCs w:val="28"/>
              </w:rPr>
              <w:t>网（http://www.qzct.org.cn/）；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13</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踏勘现场</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要组织，供应商如有需要，经采购人同意后可陪同前往，踏勘期间发生的费用或意外导致伤亡等一切责任和损失均由投标人自负。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14</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答疑会</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 w:cs="仿宋"/>
                <w:color w:val="000000"/>
                <w:sz w:val="28"/>
                <w:szCs w:val="28"/>
              </w:rPr>
              <w:t>☑</w:t>
            </w:r>
            <w:r>
              <w:rPr>
                <w:rFonts w:hint="eastAsia" w:ascii="仿宋_GB2312" w:hAnsi="仿宋" w:eastAsia="仿宋_GB2312" w:cs="仿宋"/>
                <w:color w:val="000000"/>
                <w:sz w:val="28"/>
                <w:szCs w:val="28"/>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15</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分包</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 w:cs="仿宋"/>
                <w:color w:val="000000"/>
                <w:sz w:val="28"/>
                <w:szCs w:val="28"/>
              </w:rPr>
              <w:t>☑</w:t>
            </w:r>
            <w:r>
              <w:rPr>
                <w:rFonts w:hint="eastAsia" w:ascii="仿宋_GB2312" w:hAnsi="仿宋" w:eastAsia="仿宋_GB2312" w:cs="仿宋"/>
                <w:color w:val="000000"/>
                <w:sz w:val="28"/>
                <w:szCs w:val="28"/>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70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17</w:t>
            </w:r>
          </w:p>
        </w:tc>
        <w:tc>
          <w:tcPr>
            <w:tcW w:w="1559"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解释权</w:t>
            </w:r>
          </w:p>
        </w:tc>
        <w:tc>
          <w:tcPr>
            <w:tcW w:w="7522" w:type="dxa"/>
            <w:vAlign w:val="center"/>
          </w:tcPr>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本磋商文件的解释权属于采购人所有</w:t>
            </w:r>
          </w:p>
        </w:tc>
      </w:tr>
    </w:tbl>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二、 磋商须知</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（一）总则</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1、适用范围</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1.1“采购人”是指衢州市城市资产经营有限公司。</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1.2“采购项目”是指本磋商文件所要求的水亭门一期消防报警系统改造提升工程。</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1.3“供应商”是指获得磋商文件并向采购代理机构提交磋商响应文件的供应商 。</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1.4“潜在供应商”是指符合磋商文件规定的合格供应商。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1.5 “成交供应商”是指经评标小组审查通过，并经公示无异议的供应商。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1.6“供应商代表”是指供应商法定代表人或被供应商法定代表人授权委托的人。</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2、项目说明</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2.1本采购项目说明详见磋商文件磋商须知前附表。</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2.2本采购项目按照《中华人民共和国政府采购法》等有关法律、行政法规和部门规章，按照采购人限额以下工程管理要求，采取简略办法，自行组织竞争性磋商方式选定成交供应商。</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3、磋商费用</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3.1采购人承担本次磋商有关的费用，供应商在参加过程中自行产生的费用由供应商自理。</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（二）磋商文件</w:t>
      </w:r>
    </w:p>
    <w:p>
      <w:pPr>
        <w:snapToGrid/>
        <w:spacing w:after="0"/>
        <w:ind w:firstLine="562" w:firstLineChars="200"/>
        <w:rPr>
          <w:rFonts w:hint="eastAsia" w:ascii="仿宋_GB2312" w:hAnsi="仿宋" w:eastAsia="仿宋_GB2312" w:cs="仿宋"/>
          <w:color w:val="000000"/>
          <w:sz w:val="28"/>
          <w:szCs w:val="28"/>
        </w:rPr>
      </w:pPr>
      <w:r>
        <w:rPr>
          <w:rFonts w:hint="eastAsia" w:ascii="仿宋_GB2312" w:hAnsi="仿宋" w:eastAsia="仿宋_GB2312" w:cs="仿宋"/>
          <w:b/>
          <w:bCs/>
          <w:color w:val="000000"/>
          <w:sz w:val="28"/>
          <w:szCs w:val="28"/>
        </w:rPr>
        <w:t>1、磋商文件的组成</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1.1磋商文件共分为6部分，其内容如下：</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第一部分  磋商公告</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第二部分  磋商须知前附表及磋商须知</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第三部分  采购内容及要求</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第四部分  合同主要条款</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第五部分  磋商程序及评定成交标准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第六部分  磋商响应</w:t>
      </w:r>
      <w:r>
        <w:rPr>
          <w:rFonts w:hint="eastAsia" w:ascii="仿宋_GB2312" w:hAnsi="仿宋" w:eastAsia="仿宋_GB2312" w:cs="仿宋"/>
          <w:color w:val="000000"/>
          <w:sz w:val="28"/>
          <w:szCs w:val="28"/>
          <w:lang w:val="en-US" w:eastAsia="zh-CN"/>
        </w:rPr>
        <w:t>报价</w:t>
      </w:r>
      <w:r>
        <w:rPr>
          <w:rFonts w:hint="eastAsia" w:ascii="仿宋_GB2312" w:hAnsi="仿宋" w:eastAsia="仿宋_GB2312" w:cs="仿宋"/>
          <w:color w:val="000000"/>
          <w:sz w:val="28"/>
          <w:szCs w:val="28"/>
        </w:rPr>
        <w:t>文件格式</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1.2除上条1.1内容外，采购单位在规定时间前，以</w:t>
      </w:r>
      <w:r>
        <w:fldChar w:fldCharType="begin"/>
      </w:r>
      <w:r>
        <w:instrText xml:space="preserve"> HYPERLINK "http://www.qzct.org.cn/about.aspx?Id=2" </w:instrText>
      </w:r>
      <w:r>
        <w:fldChar w:fldCharType="separate"/>
      </w:r>
      <w:r>
        <w:rPr>
          <w:rFonts w:hint="eastAsia" w:ascii="仿宋_GB2312" w:hAnsi="仿宋" w:eastAsia="仿宋_GB2312" w:cs="仿宋"/>
          <w:color w:val="000000"/>
          <w:sz w:val="28"/>
          <w:szCs w:val="28"/>
        </w:rPr>
        <w:t>衢州市城市建设投资集团有限公司</w:t>
      </w:r>
      <w:r>
        <w:rPr>
          <w:rFonts w:hint="eastAsia" w:ascii="仿宋_GB2312" w:hAnsi="仿宋" w:eastAsia="仿宋_GB2312" w:cs="仿宋"/>
          <w:color w:val="000000"/>
          <w:sz w:val="28"/>
          <w:szCs w:val="28"/>
        </w:rPr>
        <w:fldChar w:fldCharType="end"/>
      </w:r>
      <w:r>
        <w:rPr>
          <w:rFonts w:hint="eastAsia" w:ascii="仿宋_GB2312" w:hAnsi="仿宋" w:eastAsia="仿宋_GB2312" w:cs="仿宋"/>
          <w:color w:val="000000"/>
          <w:sz w:val="28"/>
          <w:szCs w:val="28"/>
        </w:rPr>
        <w:t>官网（http://www.qzct.org.cn/）发布的对磋商文件的澄清或修改内容，均为磋商文件的组成部分。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1.3供应商获取磋商文件后，应仔细检查磋商文件的所有内容，如有残缺等问题，应在获得磋商文件3日内向采购人提出，否则，由此引起的损失由供应商自己承担。供应商同时应认真审阅磋商文件中所有的事项、格式、条款和规范要求等，若供应商的磋商响应文件没有按磋商文件要求提交全部资料，或磋商响应文件没有对磋商文件做出实质性响应，其风险由供应商自行承担，并根据有关条款规定，该磋商有可能被拒绝。</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1.4招标采购单位允许潜在供应商在磋商文件报名截止时间后至磋商截止时间前允许潜在供应商前来报名参加磋商，但该供应商如在法律、法规规定的时间内逾期对磋商文件提出异议的，招标采购单位可不予受理、答复。</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2、磋商文件的澄清与修改</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2.1供应商若对磋商文件有任何疑问，要求澄清或认为有必要与招标采购单位进行技术交流时，应用书面形式送至招标采购单位，但是招标采购单位收到该通知的时间一般不迟于提交磋商响应文件截止时前5日，招标采购人将在</w:t>
      </w:r>
      <w:r>
        <w:fldChar w:fldCharType="begin"/>
      </w:r>
      <w:r>
        <w:instrText xml:space="preserve"> HYPERLINK "http://www.qzct.org.cn/about.aspx?Id=2" </w:instrText>
      </w:r>
      <w:r>
        <w:fldChar w:fldCharType="separate"/>
      </w:r>
      <w:r>
        <w:rPr>
          <w:rFonts w:hint="eastAsia" w:ascii="仿宋_GB2312" w:hAnsi="仿宋" w:eastAsia="仿宋_GB2312" w:cs="仿宋"/>
          <w:color w:val="000000"/>
          <w:sz w:val="28"/>
          <w:szCs w:val="28"/>
        </w:rPr>
        <w:t>衢州市城市建设投资集团有限公司</w:t>
      </w:r>
      <w:r>
        <w:rPr>
          <w:rFonts w:hint="eastAsia" w:ascii="仿宋_GB2312" w:hAnsi="仿宋" w:eastAsia="仿宋_GB2312" w:cs="仿宋"/>
          <w:color w:val="000000"/>
          <w:sz w:val="28"/>
          <w:szCs w:val="28"/>
        </w:rPr>
        <w:fldChar w:fldCharType="end"/>
      </w:r>
      <w:r>
        <w:rPr>
          <w:rFonts w:hint="eastAsia" w:ascii="仿宋_GB2312" w:hAnsi="仿宋" w:eastAsia="仿宋_GB2312" w:cs="仿宋"/>
          <w:color w:val="000000"/>
          <w:sz w:val="28"/>
          <w:szCs w:val="28"/>
        </w:rPr>
        <w:t xml:space="preserve">官网（http://www.qzct.org.cn/）上发布补充（答疑、澄清）文件。潜在供应商应自行关注网站公告，采购人不再书面通知。                      </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2.2磋商文件发出后，招标采购人可用补充文件的方式对已发出的磋商文件进行必要的澄清或修改。补充文件是磋商文件的组成部分，对所有供应商有约束力。</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2.3为使供应商在编制磋商响应文件时有充分的时间对磋商文件的澄清、修改、补充等内容进行研究，招标采购单位可以酌情延长提交磋商响应文件的截止时间，具体时间将在磋商文件的修改、补充通知中予以明确。</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2.4为使供应商有足够的时间按磋商文件的澄清、修改要求修正磋商响应文件，招标采购单位应在磋商截止时间5日前在</w:t>
      </w:r>
      <w:r>
        <w:fldChar w:fldCharType="begin"/>
      </w:r>
      <w:r>
        <w:instrText xml:space="preserve"> HYPERLINK "http://www.qzct.org.cn/about.aspx?Id=2" </w:instrText>
      </w:r>
      <w:r>
        <w:fldChar w:fldCharType="separate"/>
      </w:r>
      <w:r>
        <w:rPr>
          <w:rFonts w:hint="eastAsia" w:ascii="仿宋_GB2312" w:hAnsi="仿宋" w:eastAsia="仿宋_GB2312" w:cs="仿宋"/>
          <w:color w:val="000000"/>
          <w:sz w:val="28"/>
          <w:szCs w:val="28"/>
        </w:rPr>
        <w:t>衢州市城市建设投资集团有限公司</w:t>
      </w:r>
      <w:r>
        <w:rPr>
          <w:rFonts w:hint="eastAsia" w:ascii="仿宋_GB2312" w:hAnsi="仿宋" w:eastAsia="仿宋_GB2312" w:cs="仿宋"/>
          <w:color w:val="000000"/>
          <w:sz w:val="28"/>
          <w:szCs w:val="28"/>
        </w:rPr>
        <w:fldChar w:fldCharType="end"/>
      </w:r>
      <w:r>
        <w:rPr>
          <w:rFonts w:hint="eastAsia" w:ascii="仿宋_GB2312" w:hAnsi="仿宋" w:eastAsia="仿宋_GB2312" w:cs="仿宋"/>
          <w:color w:val="000000"/>
          <w:sz w:val="28"/>
          <w:szCs w:val="28"/>
        </w:rPr>
        <w:t>官网（http://www.qzct.org.cn/）发布采购文件澄清、修改通知，若发出通知日距磋商文件确定磋商截止时间不足5日，招标采购单位在通知书明确是否推迟磋商截止时间和开标时间，若所有供应商规定的回复中对不推迟磋商截止时间和开标时间均表示同意，则按原时间执行。</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2.5供应商在收到磋商文件澄清、修改通知或推迟磋商截止时间和开标时间通知后，应在通知单回执上签署意见并盖上供应商单位公章，在1个工作日内以书面或传真形式回复招标采购单位，逾期回复视为默认收到通知。</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2.6磋商文件的澄清、修改、补充等内容均以在</w:t>
      </w:r>
      <w:r>
        <w:fldChar w:fldCharType="begin"/>
      </w:r>
      <w:r>
        <w:instrText xml:space="preserve"> HYPERLINK "http://www.qzct.org.cn/about.aspx?Id=2" </w:instrText>
      </w:r>
      <w:r>
        <w:fldChar w:fldCharType="separate"/>
      </w:r>
      <w:r>
        <w:rPr>
          <w:rFonts w:hint="eastAsia" w:ascii="仿宋_GB2312" w:hAnsi="仿宋" w:eastAsia="仿宋_GB2312" w:cs="仿宋"/>
          <w:color w:val="000000"/>
          <w:sz w:val="28"/>
          <w:szCs w:val="28"/>
        </w:rPr>
        <w:t>衢州市城市建设投资集团有限公司</w:t>
      </w:r>
      <w:r>
        <w:rPr>
          <w:rFonts w:hint="eastAsia" w:ascii="仿宋_GB2312" w:hAnsi="仿宋" w:eastAsia="仿宋_GB2312" w:cs="仿宋"/>
          <w:color w:val="000000"/>
          <w:sz w:val="28"/>
          <w:szCs w:val="28"/>
        </w:rPr>
        <w:fldChar w:fldCharType="end"/>
      </w:r>
      <w:r>
        <w:rPr>
          <w:rFonts w:hint="eastAsia" w:ascii="仿宋_GB2312" w:hAnsi="仿宋" w:eastAsia="仿宋_GB2312" w:cs="仿宋"/>
          <w:color w:val="000000"/>
          <w:sz w:val="28"/>
          <w:szCs w:val="28"/>
        </w:rPr>
        <w:t>官网（http://www.qzct.org.cn/）发布的内容为准。当磋商文件、磋商文件的澄清、修改、补充等在同一内容的表述上不一致时，以最后发出的书面文件为准。</w:t>
      </w:r>
    </w:p>
    <w:p>
      <w:pPr>
        <w:snapToGrid/>
        <w:spacing w:after="0"/>
        <w:ind w:firstLine="562" w:firstLineChars="200"/>
        <w:rPr>
          <w:rFonts w:hint="eastAsia" w:ascii="仿宋_GB2312" w:hAnsi="仿宋" w:eastAsia="仿宋_GB2312" w:cs="仿宋"/>
          <w:color w:val="000000"/>
          <w:sz w:val="28"/>
          <w:szCs w:val="28"/>
        </w:rPr>
      </w:pPr>
      <w:r>
        <w:rPr>
          <w:rFonts w:hint="eastAsia" w:ascii="仿宋_GB2312" w:hAnsi="仿宋" w:eastAsia="仿宋_GB2312" w:cs="仿宋"/>
          <w:b/>
          <w:bCs/>
          <w:color w:val="000000"/>
          <w:sz w:val="28"/>
          <w:szCs w:val="28"/>
        </w:rPr>
        <w:t>（三）磋商响应文件的编制</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1、总体要求</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供应商应在认真阅读磋商文件所有内容的基础上，按照磋商文件的要求编制完整的磋商响应文件。供应商应按本文件中提供的文件格式、内容和要求制作磋商响应文件。磋商响应文件内容不完整、编排混乱导致磋商响应文件被误读、漏读或者查找不到相关内容的，是供应商的责任。</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1.2供应商必须保证磋商响应文件所提供的全部资料真实可靠，并接受采购人对其中任何资料进一步审查的要求。磋商响应文件中所有复印资料都须加盖单位公章。</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1.3磋商响应文件须对磋商文件中的内容做出实质性和完整的响应，否则其磋商响应将被拒绝。如果磋商响应文件填报的内容资料不详，或没有提供磋商文件中所要求的全部资料及数据，将会导致磋商响应被拒绝。</w:t>
      </w:r>
    </w:p>
    <w:p>
      <w:pPr>
        <w:snapToGrid/>
        <w:spacing w:after="0"/>
        <w:ind w:firstLine="560" w:firstLineChars="200"/>
        <w:rPr>
          <w:rFonts w:hint="default" w:ascii="仿宋_GB2312" w:hAnsi="仿宋" w:eastAsia="仿宋_GB2312" w:cs="仿宋"/>
          <w:color w:val="000000"/>
          <w:sz w:val="28"/>
          <w:szCs w:val="28"/>
          <w:lang w:val="en-US" w:eastAsia="zh-CN"/>
        </w:rPr>
      </w:pPr>
      <w:r>
        <w:rPr>
          <w:rFonts w:hint="eastAsia" w:ascii="仿宋_GB2312" w:hAnsi="仿宋" w:eastAsia="仿宋_GB2312" w:cs="仿宋"/>
          <w:color w:val="000000"/>
          <w:sz w:val="28"/>
          <w:szCs w:val="28"/>
          <w:lang w:val="en-US" w:eastAsia="zh-CN"/>
        </w:rPr>
        <w:t>1.4 供应商不得有围标串标行为，查实的，将列入本公司诚信黑名单。</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2、磋商响应文件的语言及度量衡单位</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2.1除采购设备有关专用名称、型号外，磋商响应文件和与磋商有关的所有文件说明均应使用中文。</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2.2除采购项目规范另有规定外，磋商响应文件使用的度量衡单位，均采用中华人民共和国法定计量单位。</w:t>
      </w:r>
    </w:p>
    <w:p>
      <w:pPr>
        <w:snapToGrid/>
        <w:spacing w:after="0"/>
        <w:ind w:firstLine="562" w:firstLineChars="200"/>
        <w:rPr>
          <w:rFonts w:hint="eastAsia" w:ascii="仿宋_GB2312" w:hAnsi="仿宋" w:eastAsia="仿宋_GB2312" w:cs="仿宋"/>
          <w:color w:val="000000"/>
          <w:sz w:val="28"/>
          <w:szCs w:val="28"/>
        </w:rPr>
      </w:pPr>
      <w:r>
        <w:rPr>
          <w:rFonts w:hint="eastAsia" w:ascii="仿宋_GB2312" w:hAnsi="仿宋" w:eastAsia="仿宋_GB2312" w:cs="仿宋"/>
          <w:b/>
          <w:bCs/>
          <w:color w:val="000000"/>
          <w:sz w:val="28"/>
          <w:szCs w:val="28"/>
        </w:rPr>
        <w:t>3、磋商响应文件的组成</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3.1▲磋商响应文件由【资格证明文件】、【技术资信文件】和【商务文件】三部分组成（正本各一份，副本各四份）。单独密封并在封口及相关部位加盖供应商单位公章。▲其中供应商应对磋商响应文件做出实质性响应，该项内容将作为响应的重要指标。一旦开标后，经审核通过磋商响应资格审查的进入技术资信文件评审，不符合资格要求的不再进行技术资信文件及商务文件评审；如技术能力不能响应磋商文件要求，则供应商即刻被废标或被拒绝进入商务文件评审。</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3.2资格证明文件内容：</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▲(1)有效的企业营业执照副本复印件（原件与磋商文件一并递交）；</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▲(2)有效的税务登记证副本复印件（原件与磋商文件一并递交，三证（五证）合一的无须提供）；</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▲(3)具有消防设施工程专业承包二级资质或消防设施维护保养检测机构二级资质（含临时二级资质）；（原件与磋商文件一并递交）；</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▲(4)磋商响应声明书；</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▲(5)法定代表人或法定代表人授权委托书原件，委托代理人有效身份证复印件;（原件随身携带，开标时交予工作人员）</w:t>
      </w:r>
    </w:p>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 xml:space="preserve">    3.3</w:t>
      </w:r>
      <w:r>
        <w:rPr>
          <w:rFonts w:hint="eastAsia" w:ascii="仿宋_GB2312" w:hAnsi="仿宋" w:eastAsia="仿宋_GB2312" w:cs="仿宋"/>
          <w:color w:val="000000"/>
          <w:sz w:val="28"/>
          <w:szCs w:val="28"/>
          <w:lang w:val="zh-CN"/>
        </w:rPr>
        <w:t xml:space="preserve"> </w:t>
      </w:r>
      <w:r>
        <w:rPr>
          <w:rFonts w:hint="eastAsia" w:ascii="仿宋_GB2312" w:hAnsi="仿宋" w:eastAsia="仿宋_GB2312" w:cs="仿宋"/>
          <w:color w:val="000000"/>
          <w:sz w:val="28"/>
          <w:szCs w:val="28"/>
        </w:rPr>
        <w:t>技术资信文件内容：</w:t>
      </w:r>
    </w:p>
    <w:p>
      <w:pPr>
        <w:snapToGrid/>
        <w:spacing w:after="0"/>
        <w:ind w:firstLine="560" w:firstLineChars="200"/>
        <w:rPr>
          <w:rFonts w:hint="eastAsia" w:ascii="仿宋_GB2312" w:hAnsi="仿宋" w:eastAsia="仿宋_GB2312" w:cs="仿宋"/>
          <w:color w:val="000000"/>
          <w:sz w:val="28"/>
          <w:szCs w:val="28"/>
          <w:lang w:val="zh-CN"/>
        </w:rPr>
      </w:pPr>
      <w:r>
        <w:rPr>
          <w:rFonts w:hint="eastAsia" w:ascii="仿宋_GB2312" w:hAnsi="仿宋" w:eastAsia="仿宋_GB2312" w:cs="仿宋"/>
          <w:color w:val="000000"/>
          <w:sz w:val="28"/>
          <w:szCs w:val="28"/>
        </w:rPr>
        <w:t>▲(1)</w:t>
      </w:r>
      <w:r>
        <w:rPr>
          <w:rFonts w:hint="eastAsia" w:ascii="仿宋_GB2312" w:hAnsi="仿宋" w:eastAsia="仿宋_GB2312" w:cs="仿宋"/>
          <w:color w:val="000000"/>
          <w:sz w:val="28"/>
          <w:szCs w:val="28"/>
          <w:lang w:val="zh-CN"/>
        </w:rPr>
        <w:t>供应商简介；</w:t>
      </w:r>
    </w:p>
    <w:p>
      <w:pPr>
        <w:snapToGrid/>
        <w:spacing w:after="0"/>
        <w:ind w:firstLine="560" w:firstLineChars="200"/>
        <w:rPr>
          <w:rFonts w:hint="eastAsia" w:ascii="仿宋_GB2312" w:hAnsi="仿宋" w:eastAsia="仿宋_GB2312" w:cs="仿宋"/>
          <w:color w:val="000000"/>
          <w:sz w:val="28"/>
          <w:szCs w:val="28"/>
          <w:lang w:val="zh-CN"/>
        </w:rPr>
      </w:pPr>
      <w:r>
        <w:rPr>
          <w:rFonts w:hint="eastAsia" w:ascii="仿宋_GB2312" w:hAnsi="仿宋" w:eastAsia="仿宋_GB2312" w:cs="仿宋"/>
          <w:color w:val="000000"/>
          <w:sz w:val="28"/>
          <w:szCs w:val="28"/>
        </w:rPr>
        <w:t>▲(2)对本项目投入的设施技术保障说明或方案</w:t>
      </w:r>
      <w:r>
        <w:rPr>
          <w:rFonts w:hint="eastAsia" w:ascii="仿宋_GB2312" w:hAnsi="仿宋" w:eastAsia="仿宋_GB2312" w:cs="仿宋"/>
          <w:color w:val="000000"/>
          <w:sz w:val="28"/>
          <w:szCs w:val="28"/>
          <w:lang w:val="zh-CN"/>
        </w:rPr>
        <w:t>；（具体内容供应商可参考评分内容编制）</w:t>
      </w:r>
    </w:p>
    <w:p>
      <w:pPr>
        <w:snapToGrid/>
        <w:spacing w:after="0"/>
        <w:ind w:firstLine="560" w:firstLineChars="200"/>
        <w:rPr>
          <w:rFonts w:hint="eastAsia" w:ascii="仿宋_GB2312" w:hAnsi="仿宋" w:eastAsia="仿宋_GB2312" w:cs="仿宋"/>
          <w:color w:val="000000"/>
          <w:sz w:val="28"/>
          <w:szCs w:val="28"/>
          <w:lang w:val="zh-CN"/>
        </w:rPr>
      </w:pPr>
      <w:r>
        <w:rPr>
          <w:rFonts w:hint="eastAsia" w:ascii="仿宋_GB2312" w:hAnsi="仿宋" w:eastAsia="仿宋_GB2312" w:cs="仿宋"/>
          <w:color w:val="000000"/>
          <w:sz w:val="28"/>
          <w:szCs w:val="28"/>
        </w:rPr>
        <w:t>▲(3)对本项目施工技术人员数量及工作时间安排及可能遇到的问题处置说明</w:t>
      </w:r>
      <w:r>
        <w:rPr>
          <w:rFonts w:hint="eastAsia" w:ascii="仿宋_GB2312" w:hAnsi="仿宋" w:eastAsia="仿宋_GB2312" w:cs="仿宋"/>
          <w:color w:val="000000"/>
          <w:sz w:val="28"/>
          <w:szCs w:val="28"/>
          <w:lang w:val="zh-CN"/>
        </w:rPr>
        <w:t>；（具体内容供应商可参考评分内容编制）</w:t>
      </w:r>
    </w:p>
    <w:p>
      <w:pPr>
        <w:snapToGrid/>
        <w:spacing w:after="0"/>
        <w:ind w:firstLine="560" w:firstLineChars="200"/>
        <w:rPr>
          <w:rFonts w:hint="eastAsia" w:ascii="仿宋_GB2312" w:hAnsi="仿宋" w:eastAsia="仿宋_GB2312" w:cs="仿宋"/>
          <w:color w:val="000000"/>
          <w:sz w:val="28"/>
          <w:szCs w:val="28"/>
          <w:lang w:val="zh-CN"/>
        </w:rPr>
      </w:pPr>
      <w:r>
        <w:rPr>
          <w:rFonts w:hint="eastAsia" w:ascii="仿宋_GB2312" w:hAnsi="仿宋" w:eastAsia="仿宋_GB2312" w:cs="仿宋"/>
          <w:color w:val="000000"/>
          <w:sz w:val="28"/>
          <w:szCs w:val="28"/>
        </w:rPr>
        <w:t>▲(4)对项目完成后的质量描述；</w:t>
      </w:r>
      <w:r>
        <w:rPr>
          <w:rFonts w:hint="eastAsia" w:ascii="仿宋_GB2312" w:hAnsi="仿宋" w:eastAsia="仿宋_GB2312" w:cs="仿宋"/>
          <w:color w:val="000000"/>
          <w:sz w:val="28"/>
          <w:szCs w:val="28"/>
          <w:lang w:val="zh-CN"/>
        </w:rPr>
        <w:t>（具体内容供应商可参考评分内容编制）</w:t>
      </w:r>
    </w:p>
    <w:p>
      <w:pPr>
        <w:snapToGrid/>
        <w:spacing w:after="0"/>
        <w:ind w:firstLine="560" w:firstLineChars="200"/>
        <w:rPr>
          <w:rFonts w:hint="eastAsia" w:ascii="仿宋_GB2312" w:hAnsi="仿宋" w:eastAsia="仿宋_GB2312" w:cs="仿宋"/>
          <w:color w:val="000000"/>
          <w:sz w:val="28"/>
          <w:szCs w:val="28"/>
          <w:lang w:val="zh-CN"/>
        </w:rPr>
      </w:pPr>
      <w:r>
        <w:rPr>
          <w:rFonts w:hint="eastAsia" w:ascii="仿宋_GB2312" w:hAnsi="仿宋" w:eastAsia="仿宋_GB2312" w:cs="仿宋"/>
          <w:color w:val="000000"/>
          <w:sz w:val="28"/>
          <w:szCs w:val="28"/>
        </w:rPr>
        <w:t>▲(5)</w:t>
      </w:r>
      <w:r>
        <w:rPr>
          <w:rFonts w:hint="eastAsia" w:ascii="仿宋_GB2312" w:hAnsi="仿宋" w:eastAsia="仿宋_GB2312" w:cs="仿宋"/>
          <w:color w:val="000000"/>
          <w:sz w:val="28"/>
          <w:szCs w:val="28"/>
          <w:lang w:val="zh-CN"/>
        </w:rPr>
        <w:t>其他优惠和承诺及</w:t>
      </w:r>
      <w:r>
        <w:rPr>
          <w:rFonts w:hint="eastAsia" w:ascii="仿宋_GB2312" w:hAnsi="仿宋" w:eastAsia="仿宋_GB2312" w:cs="仿宋"/>
          <w:color w:val="000000"/>
          <w:sz w:val="28"/>
          <w:szCs w:val="28"/>
        </w:rPr>
        <w:t>合理化建议；</w:t>
      </w:r>
      <w:r>
        <w:rPr>
          <w:rFonts w:hint="eastAsia" w:ascii="仿宋_GB2312" w:hAnsi="仿宋" w:eastAsia="仿宋_GB2312" w:cs="仿宋"/>
          <w:color w:val="000000"/>
          <w:sz w:val="28"/>
          <w:szCs w:val="28"/>
          <w:lang w:val="zh-CN"/>
        </w:rPr>
        <w:t>（具体内容供应商可参考评分内容编制）</w:t>
      </w:r>
    </w:p>
    <w:p>
      <w:pPr>
        <w:snapToGrid/>
        <w:spacing w:after="0"/>
        <w:ind w:firstLine="560" w:firstLineChars="200"/>
        <w:rPr>
          <w:rFonts w:hint="eastAsia" w:ascii="仿宋_GB2312" w:hAnsi="仿宋" w:eastAsia="仿宋_GB2312" w:cs="仿宋"/>
          <w:color w:val="000000"/>
          <w:sz w:val="28"/>
          <w:szCs w:val="28"/>
          <w:lang w:val="zh-CN"/>
        </w:rPr>
      </w:pPr>
      <w:r>
        <w:rPr>
          <w:rFonts w:hint="eastAsia" w:ascii="仿宋_GB2312" w:hAnsi="仿宋" w:eastAsia="仿宋_GB2312" w:cs="仿宋"/>
          <w:color w:val="000000"/>
          <w:sz w:val="28"/>
          <w:szCs w:val="28"/>
        </w:rPr>
        <w:t>▲(6)</w:t>
      </w:r>
      <w:r>
        <w:rPr>
          <w:rFonts w:hint="eastAsia" w:ascii="仿宋_GB2312" w:hAnsi="仿宋" w:eastAsia="仿宋_GB2312" w:cs="仿宋"/>
          <w:color w:val="000000"/>
          <w:sz w:val="28"/>
          <w:szCs w:val="28"/>
          <w:lang w:val="zh-CN"/>
        </w:rPr>
        <w:t>其他。</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注：以上内容供应商参考评分内容编制，格式自拟，以上内容所涉及到的证书及相关证明材料，要求供应商提供的材料必须真实可信，提供材料为复印件的应全部加盖公章，原件在磋商截止时间前递交，评审以原件为准（未提供原件不得分）。若提供的材料被核实为虚假的，则作废标处理。具体见第五部分中的评分说明。</w:t>
      </w:r>
    </w:p>
    <w:p>
      <w:pPr>
        <w:snapToGrid/>
        <w:spacing w:after="0"/>
        <w:ind w:firstLine="560" w:firstLineChars="200"/>
        <w:rPr>
          <w:rFonts w:hint="eastAsia" w:ascii="仿宋_GB2312" w:hAnsi="仿宋" w:eastAsia="仿宋_GB2312" w:cs="仿宋"/>
          <w:bCs/>
          <w:color w:val="000000"/>
          <w:sz w:val="28"/>
          <w:szCs w:val="28"/>
        </w:rPr>
      </w:pPr>
      <w:r>
        <w:rPr>
          <w:rFonts w:hint="eastAsia" w:ascii="仿宋_GB2312" w:hAnsi="仿宋" w:eastAsia="仿宋_GB2312" w:cs="仿宋"/>
          <w:bCs/>
          <w:color w:val="000000"/>
          <w:sz w:val="28"/>
          <w:szCs w:val="28"/>
        </w:rPr>
        <w:t>3.4商务文件：</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▲(1)响应函（见磋商文件格式</w:t>
      </w:r>
      <w:r>
        <w:rPr>
          <w:rFonts w:hint="eastAsia" w:ascii="仿宋_GB2312" w:hAnsi="仿宋" w:eastAsia="仿宋_GB2312" w:cs="仿宋"/>
          <w:color w:val="000000"/>
          <w:sz w:val="28"/>
          <w:szCs w:val="28"/>
          <w:lang w:val="zh-CN"/>
        </w:rPr>
        <w:t>附件</w:t>
      </w:r>
      <w:r>
        <w:rPr>
          <w:rFonts w:hint="eastAsia" w:ascii="仿宋_GB2312" w:hAnsi="仿宋" w:eastAsia="仿宋_GB2312" w:cs="仿宋"/>
          <w:color w:val="000000"/>
          <w:sz w:val="28"/>
          <w:szCs w:val="28"/>
        </w:rPr>
        <w:t>）；</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▲(2)报价一览表（见磋商文件格式</w:t>
      </w:r>
      <w:r>
        <w:rPr>
          <w:rFonts w:hint="eastAsia" w:ascii="仿宋_GB2312" w:hAnsi="仿宋" w:eastAsia="仿宋_GB2312" w:cs="仿宋"/>
          <w:color w:val="000000"/>
          <w:sz w:val="28"/>
          <w:szCs w:val="28"/>
          <w:lang w:val="zh-CN"/>
        </w:rPr>
        <w:t>附件</w:t>
      </w:r>
      <w:r>
        <w:rPr>
          <w:rFonts w:hint="eastAsia" w:ascii="仿宋_GB2312" w:hAnsi="仿宋" w:eastAsia="仿宋_GB2312" w:cs="仿宋"/>
          <w:color w:val="000000"/>
          <w:sz w:val="28"/>
          <w:szCs w:val="28"/>
        </w:rPr>
        <w:t>）；</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▲(3)供应商针对报价需要说明的其他文件和说明。</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val="zh-CN"/>
        </w:rPr>
        <w:t>注：</w:t>
      </w:r>
      <w:r>
        <w:rPr>
          <w:rFonts w:hint="eastAsia" w:ascii="仿宋_GB2312" w:hAnsi="仿宋" w:eastAsia="仿宋_GB2312" w:cs="仿宋"/>
          <w:color w:val="000000"/>
          <w:sz w:val="28"/>
          <w:szCs w:val="28"/>
        </w:rPr>
        <w:t>资格证明文件所涉及到的证书及证明材料复印件加盖供应商公章，涉及</w:t>
      </w:r>
      <w:r>
        <w:rPr>
          <w:rFonts w:hint="eastAsia" w:ascii="仿宋_GB2312" w:hAnsi="仿宋" w:eastAsia="仿宋_GB2312" w:cs="仿宋"/>
          <w:color w:val="000000"/>
          <w:sz w:val="28"/>
          <w:szCs w:val="28"/>
          <w:lang w:val="zh-CN"/>
        </w:rPr>
        <w:t>资格证明文件</w:t>
      </w:r>
      <w:r>
        <w:rPr>
          <w:rFonts w:hint="eastAsia" w:ascii="仿宋_GB2312" w:hAnsi="仿宋" w:eastAsia="仿宋_GB2312" w:cs="仿宋"/>
          <w:color w:val="000000"/>
          <w:sz w:val="28"/>
          <w:szCs w:val="28"/>
        </w:rPr>
        <w:t>要求提供原件开标（原件在磋商截止时间前与响应文件一起递交），未带原件的，资格审查不予通过；</w:t>
      </w:r>
      <w:r>
        <w:rPr>
          <w:rFonts w:hint="eastAsia" w:ascii="仿宋_GB2312" w:hAnsi="仿宋" w:eastAsia="仿宋_GB2312" w:cs="仿宋"/>
          <w:color w:val="000000"/>
          <w:sz w:val="28"/>
          <w:szCs w:val="28"/>
          <w:lang w:val="zh-CN"/>
        </w:rPr>
        <w:t>所有磋商文件格式由法定代表人签字或盖章，并加盖</w:t>
      </w:r>
      <w:r>
        <w:rPr>
          <w:rFonts w:hint="eastAsia" w:ascii="仿宋_GB2312" w:hAnsi="仿宋" w:eastAsia="仿宋_GB2312" w:cs="仿宋"/>
          <w:color w:val="000000"/>
          <w:sz w:val="28"/>
          <w:szCs w:val="28"/>
        </w:rPr>
        <w:t>供应商</w:t>
      </w:r>
      <w:r>
        <w:rPr>
          <w:rFonts w:hint="eastAsia" w:ascii="仿宋_GB2312" w:hAnsi="仿宋" w:eastAsia="仿宋_GB2312" w:cs="仿宋"/>
          <w:color w:val="000000"/>
          <w:sz w:val="28"/>
          <w:szCs w:val="28"/>
          <w:lang w:val="zh-CN"/>
        </w:rPr>
        <w:t>公章。</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4.磋商响应文件的编制格式及说明</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4.1磋商响应文件应包括规定的内容，供应商提交的磋商响应文件应当使用磋商文件所提供的磋商响应文件全部格式（格式可以按同样格式扩展）；未提供磋商响应文件标准格式的，由供应商自行编写。</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4.2磋商响应文件的纸张采用白色A4纸，格式及字体参照磋商文件提供的表格格式及字体；未提供格式的，标题可采用黑体字，正文采用宋体字；</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4.3供应商应在认真阅读磋商文件所有内容的基础上，按照磋商文件的要求编制完整的磋商响应文件，磋商响应文件应按照磋商文件中规定的统一格式填写。</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4.4供应商必须保证磋商响应文件所提供的全部资料真实可靠，并接受对其中任何资料进一步审查的要求。</w:t>
      </w:r>
    </w:p>
    <w:p>
      <w:pPr>
        <w:snapToGrid/>
        <w:spacing w:after="0"/>
        <w:ind w:firstLine="562" w:firstLineChars="200"/>
        <w:rPr>
          <w:rFonts w:hint="eastAsia" w:ascii="仿宋_GB2312" w:hAnsi="仿宋" w:eastAsia="仿宋_GB2312" w:cs="仿宋"/>
          <w:color w:val="000000"/>
          <w:sz w:val="28"/>
          <w:szCs w:val="28"/>
        </w:rPr>
      </w:pPr>
      <w:r>
        <w:rPr>
          <w:rFonts w:hint="eastAsia" w:ascii="仿宋_GB2312" w:hAnsi="仿宋" w:eastAsia="仿宋_GB2312" w:cs="仿宋"/>
          <w:b/>
          <w:bCs/>
          <w:color w:val="000000"/>
          <w:sz w:val="28"/>
          <w:szCs w:val="28"/>
        </w:rPr>
        <w:t>5、磋商报价</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5.1▲本项目采购预算总价17万元，供应商报价超过采购预算总价的作无效报价处理。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5.2本项目的磋商应以人民币报价。</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5.3▲磋商报价承包总价必须包括</w:t>
      </w:r>
      <w:r>
        <w:rPr>
          <w:rFonts w:hint="eastAsia" w:ascii="仿宋_GB2312" w:hAnsi="仿宋" w:eastAsia="仿宋_GB2312" w:cs="仿宋"/>
          <w:color w:val="000000"/>
          <w:sz w:val="28"/>
          <w:szCs w:val="28"/>
          <w:lang w:val="zh-CN"/>
        </w:rPr>
        <w:t>履行合同的最终价格，供应商报价应包</w:t>
      </w:r>
      <w:r>
        <w:rPr>
          <w:rFonts w:hint="eastAsia" w:ascii="仿宋_GB2312" w:hAnsi="仿宋" w:eastAsia="仿宋_GB2312" w:cs="仿宋"/>
          <w:color w:val="000000"/>
          <w:sz w:val="28"/>
          <w:szCs w:val="28"/>
        </w:rPr>
        <w:t>工包料，包括施工结束后的检测测试（不包括所有更换设备、零件、材料费用）</w:t>
      </w:r>
      <w:r>
        <w:rPr>
          <w:rFonts w:hint="eastAsia" w:ascii="仿宋_GB2312" w:hAnsi="仿宋" w:eastAsia="仿宋_GB2312" w:cs="仿宋"/>
          <w:color w:val="000000"/>
          <w:sz w:val="28"/>
          <w:szCs w:val="28"/>
          <w:lang w:val="zh-CN"/>
        </w:rPr>
        <w:t>、税金等合同实施过程中的应预见和不可预见费用等为完成本项目可能发生的全部费用。</w:t>
      </w:r>
    </w:p>
    <w:p>
      <w:pPr>
        <w:snapToGrid/>
        <w:spacing w:after="0"/>
        <w:ind w:firstLine="560" w:firstLineChars="200"/>
        <w:rPr>
          <w:rFonts w:hint="eastAsia" w:ascii="仿宋_GB2312" w:hAnsi="仿宋" w:eastAsia="仿宋_GB2312" w:cs="仿宋"/>
          <w:color w:val="000000"/>
          <w:sz w:val="28"/>
          <w:szCs w:val="28"/>
          <w:lang w:val="zh-CN"/>
        </w:rPr>
      </w:pPr>
      <w:r>
        <w:rPr>
          <w:rFonts w:hint="eastAsia" w:ascii="仿宋_GB2312" w:hAnsi="仿宋" w:eastAsia="仿宋_GB2312" w:cs="仿宋"/>
          <w:color w:val="000000"/>
          <w:sz w:val="28"/>
          <w:szCs w:val="28"/>
        </w:rPr>
        <w:t>5.4报价表中标明的价格在合同执行过程中是固定不变的，供应商不得以任何理由予以变更。</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（四）磋商响应文件的提交</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1、磋商响应文件的密封及标记</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1.1磋商响应文件应严格按照磋商文件规定的顺序纵向装订成册，按要求密封及加写标记，</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2、磋商响应文件的提交</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2.1供应商应按本磋商文件磋商须知前附表规定的地点，于截止时间前提交磋商响应文件。</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2.2发生下列情况之一的磋商响应文件将拒收：</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（1）在磋商截止时间以后送达的磋商响应文件；</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（2）未密封或未装订的磋商响应文件；</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（3）因包装不妥在送达途中严重破损或失散的磋商响应文件；</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 以电讯形式递交的磋商响应文件。</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（五）无效标条款</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1、有下列情况之一的，对供应商作无效标处理。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1.1磋商响应文件未按规定密封的；</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1.2严重扰乱开标现场秩序或不正当手段干扰开标过程及评标过程，影响正常开标的；</w:t>
      </w:r>
    </w:p>
    <w:p>
      <w:pPr>
        <w:snapToGrid/>
        <w:spacing w:after="0"/>
        <w:ind w:left="110" w:leftChars="50" w:firstLine="420" w:firstLineChars="15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1.3磋商响应文件有应盖而未盖公章、未装订、应签字未签字；</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1.4供应商代表未提交本人有效身份证件或授权代表无法定代表人合法有效授权委托书的；</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1.5明显不符合磋商文件中主要技术规格、技术标准的；</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1.6提供虚假信息谋取成交的；</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1.7报价超出采购预算价；</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1.8  磋商响应文件关键内容字迹模糊、无法辨认的；</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1.9明显不符合磋商文件中主要技术规格、技术标准的（例如关于“▲”条款及特别说明的）；</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1.10供应商报价明显高于其市场价或低于成本价的，该供应商不能合理说明原因并提供证明材料的；</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1.11磋商文件载明的采购项目完成期限超过了采购项目文件规定的期限；</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1.12磋商响应文件对磋商文件未作实质性响应要求的；</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1.13 磋商响应文件组成漏项或按规定的格式编制或磋商响应文件正、副本份数不足哦，内容不全或内容字迹模糊辨认不清；</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1.17供应商有围标串标行为或明显串标嫌疑的。</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（六）废标的情形</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1、采购中，出现下列情形之一的，应予废标，废标后，采购人将废标理由通知所有供应商：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1.1出现影响采购公证的违法、违规行为的；</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1.2供应商的报价均超过了采购预算，采购人不能支付的；</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1.3因重大变故，采购任务取消的；</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（七）磋商</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1、磋商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1.1采购单位按本磋商文件磋商须知前附表规定的时间和地点召开磋商会议。</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1.2参加磋商的磋商供应商的法定代表人须携带“有效身份证件”原件及“法定代表人身份证明”或其授权代表须携带“有效身份证件”原件及“法定代表人授权书”原件，出席磋商会议，磋商供应商如不派代表参加磋商会议的，视为放弃磋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1.3撤回的磋商文件不予开封，并退回给供应商；磋商响应时出现的无效磋商响应文件，不予送交评审。</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1.4当出现磋商响应时间截止后供应商不足三家的情况时，严格按照财政部及浙江省财政厅有关规章制度进行处理。</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（八）磋商结果公示</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1.磋商结果公示</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w:t>
      </w:r>
      <w:r>
        <w:rPr>
          <w:rFonts w:hint="eastAsia" w:ascii="仿宋_GB2312" w:hAnsi="仿宋" w:eastAsia="仿宋_GB2312" w:cs="仿宋"/>
          <w:color w:val="000000"/>
          <w:sz w:val="28"/>
          <w:szCs w:val="28"/>
          <w:highlight w:val="cyan"/>
        </w:rPr>
        <w:t>磋商结果在采购人办公大楼公示。</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1.2成交供应商因自身原因放弃成交或因不可抗力不能履行合同的；经质疑，招标采购单位审查确定因成交供应商在本次采购活动中存在违规行为或其他原因使质疑成立的；采购人可以与排位在成交供应商之后的成交候选人签订合同，以此类推。</w:t>
      </w:r>
    </w:p>
    <w:p>
      <w:pPr>
        <w:snapToGrid/>
        <w:spacing w:after="0"/>
        <w:ind w:firstLine="562" w:firstLineChars="200"/>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（九）授予合同签订资格</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1、成交通知书</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1.1在评审结果公示结束后，采购人将对成交供应商签发《成交通知书》。</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1.2《成交通知书》是与采购人签订合同的凭证，是授予合同签订资格的合法依据。</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2、合同的签订</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2.1成交供应商应该按照《成交通知书》的要求15天内与采购人签订合同，如对抗或拖延履行签订合同责任和义务的，采购人将与排位在成交供应商之后的成交候选人签订。</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2.2磋商文件、成交供应商的磋商响应文件及评标过程中有关澄清文件均作为签订合同的附件组成部分。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2.3成交供应商和采购人签订的合同条款不得对采购结果及成交供应商磋商响应文件中的承诺内容作实质性改变，成交供应商和采购人不得再订立背离合同实质性内容的其他协议。</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2.4成交供应商应按成交通知书规定的时间、地点与采购人签订合同，同时提交履约保证金。</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3、授标时更改采购货物数量的权力</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采购人在授予合同时有权对采购货物的数量和服务在一定范围内予以增加或减少,但不得对单价和其他的条款和条件作任何改变。</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4、履约保证金</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在合同签订前，成交供应商向采购人支付合同总金额5%的履约保证金，服务期满后无息退还。</w:t>
      </w:r>
    </w:p>
    <w:p>
      <w:pPr>
        <w:snapToGrid/>
        <w:spacing w:after="0"/>
        <w:ind w:firstLine="422" w:firstLineChars="150"/>
        <w:rPr>
          <w:rFonts w:ascii="仿宋" w:hAnsi="仿宋" w:eastAsia="仿宋" w:cs="仿宋"/>
          <w:b/>
          <w:color w:val="000000"/>
          <w:sz w:val="24"/>
          <w:szCs w:val="24"/>
        </w:rPr>
      </w:pPr>
      <w:r>
        <w:rPr>
          <w:rFonts w:hint="eastAsia" w:ascii="仿宋_GB2312" w:hAnsi="仿宋" w:eastAsia="仿宋_GB2312" w:cs="仿宋"/>
          <w:b/>
          <w:color w:val="000000"/>
          <w:sz w:val="28"/>
          <w:szCs w:val="28"/>
        </w:rPr>
        <w:t>5、解释权 凡涉及本次文件的解释权均属于衢州市城市资产经营有限公司。</w:t>
      </w:r>
    </w:p>
    <w:p>
      <w:pPr>
        <w:snapToGrid/>
        <w:spacing w:after="0"/>
        <w:ind w:firstLine="480" w:firstLineChars="200"/>
        <w:rPr>
          <w:rFonts w:ascii="仿宋" w:hAnsi="仿宋" w:eastAsia="仿宋" w:cs="仿宋"/>
          <w:color w:val="000000"/>
          <w:sz w:val="24"/>
          <w:szCs w:val="24"/>
        </w:rPr>
      </w:pPr>
    </w:p>
    <w:p>
      <w:pPr>
        <w:pStyle w:val="2"/>
        <w:jc w:val="center"/>
        <w:rPr>
          <w:rFonts w:asciiTheme="majorEastAsia" w:hAnsiTheme="majorEastAsia" w:eastAsiaTheme="majorEastAsia" w:cstheme="majorEastAsia"/>
          <w:b/>
          <w:bCs/>
          <w:color w:val="000000"/>
          <w:sz w:val="36"/>
          <w:szCs w:val="36"/>
        </w:rPr>
      </w:pPr>
    </w:p>
    <w:p>
      <w:pPr>
        <w:snapToGrid/>
        <w:spacing w:after="0"/>
        <w:ind w:firstLine="723" w:firstLineChars="200"/>
        <w:rPr>
          <w:rFonts w:asciiTheme="majorEastAsia" w:hAnsiTheme="majorEastAsia" w:eastAsiaTheme="majorEastAsia" w:cstheme="majorEastAsia"/>
          <w:b/>
          <w:bCs/>
          <w:color w:val="000000"/>
          <w:sz w:val="36"/>
          <w:szCs w:val="36"/>
        </w:rPr>
      </w:pPr>
    </w:p>
    <w:p>
      <w:pPr>
        <w:pStyle w:val="2"/>
        <w:jc w:val="center"/>
        <w:rPr>
          <w:rFonts w:asciiTheme="majorEastAsia" w:hAnsiTheme="majorEastAsia" w:eastAsiaTheme="majorEastAsia" w:cstheme="majorEastAsia"/>
          <w:b/>
          <w:bCs/>
          <w:color w:val="000000"/>
          <w:sz w:val="28"/>
          <w:szCs w:val="28"/>
        </w:rPr>
      </w:pPr>
      <w:r>
        <w:rPr>
          <w:rFonts w:hint="eastAsia" w:asciiTheme="majorEastAsia" w:hAnsiTheme="majorEastAsia" w:eastAsiaTheme="majorEastAsia" w:cstheme="majorEastAsia"/>
          <w:b/>
          <w:bCs/>
          <w:color w:val="000000"/>
          <w:sz w:val="36"/>
          <w:szCs w:val="36"/>
        </w:rPr>
        <w:t>第三部分  工程内容及需求</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一、工程内容</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 水亭门一期消防报警系统采用《海湾》牌系列产品，目前消防报警主机上机的报警点位约1600个，是按2013年的门牌号编程录入消防主机，已于现在门牌号不同，另有约400个报警点位没有录入主机，要求将约2000个报警点位按正确地址重新编程录入主机；工作内容：现场点位的拆装编程、消防主机的读码编程、编码表制作。</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 加装CRT图形显示系统。工作内容：《海湾》品牌CRT的采购（需与原设备兼容匹配）、图纸制作、CRT接口卡、CRT的厂家编程、CRT现场制作费用、设备的调试运行。</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 我公司目前仅能提供纸质版竣工图，不能保证完全准确，需现场核对。我方可提供CAD建筑施工图，施工方核对修改正确后，制作电子版CAD消防工程竣工图，以便CRT系统使用。具体工程量及报价需投标人现场踏勘，按照竣工图规范要求和CRT系统使用要求制作电子版CAD竣工图，确保正常使用，申报工程量并报价。</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 水亭街35-39号（原十八棵饭店）内部消防设施和报警系统被拆卸损坏，具体工程量需投标人现场踏勘并报各项单价,按施工实际工程量结算。该项工程款最终按审计后的工程价支付。</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二、施工及质量要求</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 施工人员应严格按照消防工程相关施工规范进行施工，不得遗漏报警点位。报警点位安装稳固，线路通畅，现场实际安装数量须与消防主机上机数量一致。</w:t>
      </w:r>
    </w:p>
    <w:p>
      <w:pPr>
        <w:pStyle w:val="3"/>
        <w:ind w:firstLine="560" w:firstLineChars="200"/>
        <w:rPr>
          <w:rFonts w:hint="eastAsia" w:ascii="仿宋_GB2312" w:hAnsi="仿宋" w:cs="仿宋"/>
          <w:color w:val="000000"/>
          <w:sz w:val="28"/>
          <w:szCs w:val="28"/>
        </w:rPr>
      </w:pPr>
      <w:r>
        <w:rPr>
          <w:rFonts w:hint="eastAsia" w:ascii="仿宋_GB2312" w:hAnsi="仿宋" w:cs="仿宋"/>
          <w:color w:val="000000"/>
          <w:sz w:val="28"/>
          <w:szCs w:val="28"/>
        </w:rPr>
        <w:t>2. 制作的CAD竣工图，各设施数量及类别与现场相符、对应准确。</w:t>
      </w: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hint="eastAsia" w:asciiTheme="majorEastAsia" w:hAnsiTheme="majorEastAsia" w:eastAsiaTheme="majorEastAsia" w:cstheme="majorEastAsia"/>
          <w:b/>
          <w:bCs/>
          <w:color w:val="000000"/>
          <w:sz w:val="36"/>
          <w:szCs w:val="36"/>
        </w:rPr>
      </w:pPr>
    </w:p>
    <w:p>
      <w:pPr>
        <w:pStyle w:val="2"/>
        <w:jc w:val="center"/>
        <w:rPr>
          <w:rFonts w:asciiTheme="majorEastAsia" w:hAnsiTheme="majorEastAsia" w:eastAsiaTheme="majorEastAsia" w:cstheme="majorEastAsia"/>
          <w:b/>
          <w:bCs/>
          <w:color w:val="000000"/>
          <w:sz w:val="36"/>
          <w:szCs w:val="36"/>
        </w:rPr>
      </w:pPr>
      <w:r>
        <w:rPr>
          <w:rFonts w:hint="eastAsia" w:asciiTheme="majorEastAsia" w:hAnsiTheme="majorEastAsia" w:eastAsiaTheme="majorEastAsia" w:cstheme="majorEastAsia"/>
          <w:b/>
          <w:bCs/>
          <w:color w:val="000000"/>
          <w:sz w:val="36"/>
          <w:szCs w:val="36"/>
        </w:rPr>
        <w:t>第四部分 合同条款</w:t>
      </w:r>
    </w:p>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甲方：衢州市城市资产经营有限公司（以下简称甲方）</w:t>
      </w:r>
    </w:p>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联系人：王晓东         电话：13957032396</w:t>
      </w:r>
    </w:p>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乙方：                          （以下简称乙方）</w:t>
      </w:r>
    </w:p>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施工负责人：           电话：</w:t>
      </w:r>
    </w:p>
    <w:p>
      <w:pPr>
        <w:snapToGrid/>
        <w:spacing w:after="0"/>
        <w:ind w:firstLine="560" w:firstLineChars="200"/>
        <w:rPr>
          <w:rFonts w:hint="eastAsia" w:ascii="仿宋_GB2312" w:hAnsi="仿宋" w:eastAsia="仿宋_GB2312" w:cs="仿宋"/>
          <w:color w:val="000000"/>
          <w:sz w:val="28"/>
          <w:szCs w:val="28"/>
        </w:rPr>
      </w:pP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依照《中华人民共和国合同法》及有关法律、法规的规定，经竞争性磋商确定</w:t>
      </w:r>
      <w:r>
        <w:rPr>
          <w:rFonts w:hint="eastAsia" w:ascii="仿宋_GB2312" w:hAnsi="仿宋" w:eastAsia="仿宋_GB2312" w:cs="仿宋"/>
          <w:color w:val="000000"/>
          <w:sz w:val="28"/>
          <w:szCs w:val="28"/>
          <w:u w:val="single"/>
        </w:rPr>
        <w:t xml:space="preserve">                    </w:t>
      </w:r>
      <w:r>
        <w:rPr>
          <w:rFonts w:hint="eastAsia" w:ascii="仿宋_GB2312" w:hAnsi="仿宋" w:eastAsia="仿宋_GB2312" w:cs="仿宋"/>
          <w:color w:val="000000"/>
          <w:sz w:val="28"/>
          <w:szCs w:val="28"/>
        </w:rPr>
        <w:t>为本次工程施工单位，双方在平等、自愿、协商一致的基础上，就甲方水亭门一期消防报警系统改造提升工程，达成如下协议:</w:t>
      </w:r>
    </w:p>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 xml:space="preserve">    一、工程概括</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 工程地点：衢州市水亭街</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 工程承包方式：双方商定采取承包方包工、包料的承包方式。</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 工程期限</w:t>
      </w:r>
      <w:r>
        <w:rPr>
          <w:rFonts w:hint="eastAsia" w:ascii="仿宋_GB2312" w:hAnsi="仿宋" w:eastAsia="仿宋_GB2312" w:cs="仿宋"/>
          <w:color w:val="000000"/>
          <w:sz w:val="28"/>
          <w:szCs w:val="28"/>
          <w:u w:val="single"/>
        </w:rPr>
        <w:t xml:space="preserve">   </w:t>
      </w:r>
      <w:r>
        <w:rPr>
          <w:rFonts w:hint="eastAsia" w:ascii="仿宋_GB2312" w:hAnsi="仿宋" w:eastAsia="仿宋_GB2312" w:cs="仿宋"/>
          <w:color w:val="000000"/>
          <w:sz w:val="28"/>
          <w:szCs w:val="28"/>
        </w:rPr>
        <w:t xml:space="preserve">天，开工日期2019年7月 </w:t>
      </w:r>
      <w:r>
        <w:rPr>
          <w:rFonts w:hint="eastAsia" w:ascii="仿宋_GB2312" w:hAnsi="仿宋" w:eastAsia="仿宋_GB2312" w:cs="仿宋"/>
          <w:color w:val="000000"/>
          <w:sz w:val="28"/>
          <w:szCs w:val="28"/>
          <w:lang w:val="en-US" w:eastAsia="zh-CN"/>
        </w:rPr>
        <w:t xml:space="preserve">  </w:t>
      </w:r>
      <w:r>
        <w:rPr>
          <w:rFonts w:hint="eastAsia" w:ascii="仿宋_GB2312" w:hAnsi="仿宋" w:eastAsia="仿宋_GB2312" w:cs="仿宋"/>
          <w:color w:val="000000"/>
          <w:sz w:val="28"/>
          <w:szCs w:val="28"/>
        </w:rPr>
        <w:t>日，竣工日期 2019年</w:t>
      </w:r>
      <w:r>
        <w:rPr>
          <w:rFonts w:hint="eastAsia" w:ascii="仿宋_GB2312" w:hAnsi="仿宋" w:eastAsia="仿宋_GB2312" w:cs="仿宋"/>
          <w:color w:val="000000"/>
          <w:sz w:val="28"/>
          <w:szCs w:val="28"/>
          <w:lang w:val="en-US" w:eastAsia="zh-CN"/>
        </w:rPr>
        <w:t xml:space="preserve">  </w:t>
      </w:r>
      <w:r>
        <w:rPr>
          <w:rFonts w:hint="eastAsia" w:ascii="仿宋_GB2312" w:hAnsi="仿宋" w:eastAsia="仿宋_GB2312" w:cs="仿宋"/>
          <w:color w:val="000000"/>
          <w:sz w:val="28"/>
          <w:szCs w:val="28"/>
        </w:rPr>
        <w:t xml:space="preserve"> 月</w:t>
      </w:r>
      <w:r>
        <w:rPr>
          <w:rFonts w:hint="eastAsia" w:ascii="仿宋_GB2312" w:hAnsi="仿宋" w:eastAsia="仿宋_GB2312" w:cs="仿宋"/>
          <w:color w:val="000000"/>
          <w:sz w:val="28"/>
          <w:szCs w:val="28"/>
          <w:lang w:val="en-US" w:eastAsia="zh-CN"/>
        </w:rPr>
        <w:t xml:space="preserve">   </w:t>
      </w:r>
      <w:r>
        <w:rPr>
          <w:rFonts w:hint="eastAsia" w:ascii="仿宋_GB2312" w:hAnsi="仿宋" w:eastAsia="仿宋_GB2312" w:cs="仿宋"/>
          <w:color w:val="000000"/>
          <w:sz w:val="28"/>
          <w:szCs w:val="28"/>
        </w:rPr>
        <w:t>日。</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 合同预算价：</w:t>
      </w:r>
      <w:r>
        <w:rPr>
          <w:rFonts w:hint="eastAsia" w:ascii="仿宋_GB2312" w:hAnsi="仿宋" w:eastAsia="仿宋_GB2312" w:cs="仿宋"/>
          <w:color w:val="000000"/>
          <w:sz w:val="28"/>
          <w:szCs w:val="28"/>
          <w:u w:val="single"/>
        </w:rPr>
        <w:t xml:space="preserve">      </w:t>
      </w:r>
      <w:r>
        <w:rPr>
          <w:rFonts w:hint="eastAsia" w:ascii="仿宋_GB2312" w:hAnsi="仿宋" w:eastAsia="仿宋_GB2312" w:cs="仿宋"/>
          <w:color w:val="000000"/>
          <w:sz w:val="28"/>
          <w:szCs w:val="28"/>
        </w:rPr>
        <w:t>元    大写：</w:t>
      </w:r>
    </w:p>
    <w:p>
      <w:pPr>
        <w:snapToGrid/>
        <w:spacing w:after="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 xml:space="preserve">    二、甲方义务及责任</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甲方为乙方提供开门、商户协调工作。</w:t>
      </w:r>
    </w:p>
    <w:p>
      <w:pPr>
        <w:snapToGrid/>
        <w:spacing w:after="0"/>
        <w:rPr>
          <w:rFonts w:hint="eastAsia" w:ascii="仿宋_GB2312" w:hAnsi="仿宋" w:eastAsia="仿宋_GB2312" w:cs="仿宋"/>
          <w:b/>
          <w:color w:val="000000"/>
          <w:sz w:val="28"/>
          <w:szCs w:val="28"/>
        </w:rPr>
      </w:pPr>
      <w:r>
        <w:rPr>
          <w:rFonts w:hint="eastAsia" w:ascii="仿宋_GB2312" w:hAnsi="仿宋" w:eastAsia="仿宋_GB2312" w:cs="仿宋"/>
          <w:color w:val="000000"/>
          <w:sz w:val="28"/>
          <w:szCs w:val="28"/>
        </w:rPr>
        <w:t xml:space="preserve">    </w:t>
      </w:r>
      <w:r>
        <w:rPr>
          <w:rFonts w:hint="eastAsia" w:ascii="仿宋_GB2312" w:hAnsi="仿宋" w:eastAsia="仿宋_GB2312" w:cs="仿宋"/>
          <w:b/>
          <w:color w:val="000000"/>
          <w:sz w:val="28"/>
          <w:szCs w:val="28"/>
        </w:rPr>
        <w:t>三、乙方义务及责任</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施工中严格执行安全施工操作规范、防火规定、施工规范及质量标准，按期保质完成工程；做好施工现场的安全管理工作，采取措施，加强防范。施工期间出现的一切人身安全事故所造成的一切责任，包括行政、刑事以及经济赔偿责任均由乙方自行承担。</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2.严格执行有关现场管理的规定，不得扰民及污染环境。</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3.保证施工现场的整洁，工程完工后负责清扫施工现场。</w:t>
      </w:r>
    </w:p>
    <w:p>
      <w:pPr>
        <w:pStyle w:val="2"/>
        <w:ind w:firstLine="562" w:firstLineChars="200"/>
        <w:rPr>
          <w:rFonts w:hint="eastAsia" w:ascii="仿宋_GB2312" w:eastAsia="仿宋_GB2312"/>
          <w:b/>
          <w:bCs/>
          <w:sz w:val="28"/>
          <w:szCs w:val="28"/>
        </w:rPr>
      </w:pPr>
      <w:r>
        <w:rPr>
          <w:rFonts w:hint="eastAsia" w:ascii="仿宋_GB2312" w:hAnsi="仿宋" w:eastAsia="仿宋_GB2312" w:cs="仿宋"/>
          <w:b/>
          <w:bCs/>
          <w:color w:val="000000"/>
          <w:sz w:val="28"/>
          <w:szCs w:val="28"/>
        </w:rPr>
        <w:t>4. 乙方的施工质量应以交钥匙工程标准交付甲方。</w:t>
      </w:r>
    </w:p>
    <w:p>
      <w:pPr>
        <w:snapToGrid/>
        <w:spacing w:after="0"/>
        <w:rPr>
          <w:rFonts w:hint="eastAsia" w:ascii="仿宋_GB2312" w:hAnsi="仿宋" w:eastAsia="仿宋_GB2312" w:cs="仿宋"/>
          <w:b/>
          <w:color w:val="000000"/>
          <w:sz w:val="28"/>
          <w:szCs w:val="28"/>
        </w:rPr>
      </w:pPr>
      <w:r>
        <w:rPr>
          <w:rFonts w:hint="eastAsia" w:ascii="仿宋_GB2312" w:hAnsi="仿宋" w:eastAsia="仿宋_GB2312" w:cs="仿宋"/>
          <w:color w:val="000000"/>
          <w:sz w:val="28"/>
          <w:szCs w:val="28"/>
        </w:rPr>
        <w:t xml:space="preserve">    </w:t>
      </w:r>
      <w:r>
        <w:rPr>
          <w:rFonts w:hint="eastAsia" w:ascii="仿宋_GB2312" w:hAnsi="仿宋" w:eastAsia="仿宋_GB2312" w:cs="仿宋"/>
          <w:b/>
          <w:color w:val="000000"/>
          <w:sz w:val="28"/>
          <w:szCs w:val="28"/>
        </w:rPr>
        <w:t>四、材料的提供</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由乙方提供的材料、设备，承包方应在材料运到施工现场前通知发包方，并接受甲方检验。</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五、 工期延误</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因以下原因造成竣工日期延误，经甲方确认，工期相应顺延；</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1、工程量如有变化。</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2、甲方同意工期顺延的其他情况</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3、不可抗力</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4、因乙方责任不能按期开工或无故中途停工而影响工期的，工期不顺延；因乙方原因造成工程质量问题的，返工费用由乙方承担，工期不顺延。</w:t>
      </w:r>
    </w:p>
    <w:p>
      <w:pPr>
        <w:pStyle w:val="2"/>
        <w:ind w:firstLine="560" w:firstLineChars="200"/>
        <w:rPr>
          <w:rFonts w:hint="eastAsia" w:ascii="仿宋_GB2312" w:eastAsia="仿宋_GB2312"/>
          <w:sz w:val="28"/>
          <w:szCs w:val="28"/>
        </w:rPr>
      </w:pPr>
      <w:r>
        <w:rPr>
          <w:rFonts w:hint="eastAsia" w:ascii="仿宋_GB2312" w:eastAsia="仿宋_GB2312"/>
          <w:sz w:val="28"/>
          <w:szCs w:val="28"/>
        </w:rPr>
        <w:t>5、因乙方原因工期延误的，按每天500元扣除工程款。</w:t>
      </w:r>
    </w:p>
    <w:p>
      <w:pPr>
        <w:snapToGrid/>
        <w:spacing w:after="0"/>
        <w:rPr>
          <w:rFonts w:hint="eastAsia" w:ascii="仿宋_GB2312" w:hAnsi="仿宋" w:eastAsia="仿宋_GB2312" w:cs="仿宋"/>
          <w:b/>
          <w:color w:val="000000"/>
          <w:sz w:val="28"/>
          <w:szCs w:val="28"/>
        </w:rPr>
      </w:pPr>
      <w:r>
        <w:rPr>
          <w:rFonts w:hint="eastAsia" w:ascii="仿宋_GB2312" w:hAnsi="仿宋" w:eastAsia="仿宋_GB2312" w:cs="仿宋"/>
          <w:color w:val="000000"/>
          <w:sz w:val="28"/>
          <w:szCs w:val="28"/>
        </w:rPr>
        <w:t xml:space="preserve">    </w:t>
      </w:r>
      <w:r>
        <w:rPr>
          <w:rFonts w:hint="eastAsia" w:ascii="仿宋_GB2312" w:hAnsi="仿宋" w:eastAsia="仿宋_GB2312" w:cs="仿宋"/>
          <w:b/>
          <w:color w:val="000000"/>
          <w:sz w:val="28"/>
          <w:szCs w:val="28"/>
        </w:rPr>
        <w:t>六、工程款支付方式</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 合同预算价为</w:t>
      </w:r>
      <w:r>
        <w:rPr>
          <w:rFonts w:hint="eastAsia" w:ascii="仿宋_GB2312" w:hAnsi="仿宋" w:eastAsia="仿宋_GB2312" w:cs="仿宋"/>
          <w:color w:val="000000"/>
          <w:sz w:val="28"/>
          <w:szCs w:val="28"/>
          <w:u w:val="single"/>
        </w:rPr>
        <w:t xml:space="preserve">      </w:t>
      </w:r>
      <w:r>
        <w:rPr>
          <w:rFonts w:hint="eastAsia" w:ascii="仿宋_GB2312" w:hAnsi="仿宋" w:eastAsia="仿宋_GB2312" w:cs="仿宋"/>
          <w:color w:val="000000"/>
          <w:sz w:val="28"/>
          <w:szCs w:val="28"/>
        </w:rPr>
        <w:t>元，因工程合同金额少，工期短。双方约定，施工结束验收合格后，甲方支付合同预算价的70%。</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 工程验收时，甲方和乙方现场核实工程量，以核实的实际工程量按乙方投标报价编制决算。</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 乙方按照审计确定的工程总价开具增值税专用发票至甲方结算工程款。甲方支付至工程款的90%，剩余10%将作为质保金一年后付清。</w:t>
      </w:r>
    </w:p>
    <w:p>
      <w:pPr>
        <w:snapToGrid/>
        <w:spacing w:after="0"/>
        <w:rPr>
          <w:rFonts w:hint="eastAsia" w:ascii="仿宋_GB2312" w:hAnsi="仿宋" w:eastAsia="仿宋_GB2312" w:cs="仿宋"/>
          <w:b/>
          <w:color w:val="000000"/>
          <w:sz w:val="28"/>
          <w:szCs w:val="28"/>
        </w:rPr>
      </w:pPr>
      <w:r>
        <w:rPr>
          <w:rFonts w:hint="eastAsia" w:ascii="仿宋_GB2312" w:hAnsi="仿宋" w:eastAsia="仿宋_GB2312" w:cs="仿宋"/>
          <w:color w:val="000000"/>
          <w:sz w:val="28"/>
          <w:szCs w:val="28"/>
        </w:rPr>
        <w:t xml:space="preserve">    </w:t>
      </w:r>
      <w:r>
        <w:rPr>
          <w:rFonts w:hint="eastAsia" w:ascii="仿宋_GB2312" w:hAnsi="仿宋" w:eastAsia="仿宋_GB2312" w:cs="仿宋"/>
          <w:b/>
          <w:color w:val="000000"/>
          <w:sz w:val="28"/>
          <w:szCs w:val="28"/>
        </w:rPr>
        <w:t>七、其他</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1.合同双方当事人中的如何一方因未履行合同约定或违反国家法律、法规及有关政策规定，受到罚款或给对方造成损失的均由责任方承担责任，并赔偿给对方造成的经济损失。</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2.因一方原因，造成合同无法继续履行时，该方应及时通知另一方，办理合同终止手续，并由责任方赔偿对方相应的经济损失。</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 由于乙方原因，工程质量达不到双方约定的质量标准，乙方负责更正，工期不予顺延。</w:t>
      </w:r>
    </w:p>
    <w:p>
      <w:pPr>
        <w:snapToGrid/>
        <w:spacing w:after="0"/>
        <w:rPr>
          <w:rFonts w:hint="eastAsia" w:ascii="仿宋_GB2312" w:hAnsi="仿宋" w:eastAsia="仿宋_GB2312" w:cs="仿宋"/>
          <w:b/>
          <w:color w:val="000000"/>
          <w:sz w:val="28"/>
          <w:szCs w:val="28"/>
        </w:rPr>
      </w:pPr>
      <w:r>
        <w:rPr>
          <w:rFonts w:hint="eastAsia" w:ascii="仿宋_GB2312" w:hAnsi="仿宋" w:eastAsia="仿宋_GB2312" w:cs="仿宋"/>
          <w:color w:val="000000"/>
          <w:sz w:val="28"/>
          <w:szCs w:val="28"/>
        </w:rPr>
        <w:t xml:space="preserve">    </w:t>
      </w:r>
      <w:r>
        <w:rPr>
          <w:rFonts w:hint="eastAsia" w:ascii="仿宋_GB2312" w:hAnsi="仿宋" w:eastAsia="仿宋_GB2312" w:cs="仿宋"/>
          <w:b/>
          <w:color w:val="000000"/>
          <w:sz w:val="28"/>
          <w:szCs w:val="28"/>
        </w:rPr>
        <w:t>八、合同争议的解决方式</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本合同在履行过程中发生的争议，由当事人双方协商解决；也可由有关部门调解，协商或调解不成的，向衢州市柯城区人民法院提起诉讼。</w:t>
      </w:r>
    </w:p>
    <w:p>
      <w:pPr>
        <w:snapToGrid/>
        <w:spacing w:after="0"/>
        <w:rPr>
          <w:rFonts w:hint="eastAsia" w:ascii="仿宋_GB2312" w:hAnsi="仿宋" w:eastAsia="仿宋_GB2312" w:cs="仿宋"/>
          <w:b/>
          <w:color w:val="000000"/>
          <w:sz w:val="28"/>
          <w:szCs w:val="28"/>
        </w:rPr>
      </w:pPr>
      <w:r>
        <w:rPr>
          <w:rFonts w:hint="eastAsia" w:ascii="仿宋_GB2312" w:hAnsi="仿宋" w:eastAsia="仿宋_GB2312" w:cs="仿宋"/>
          <w:color w:val="000000"/>
          <w:sz w:val="28"/>
          <w:szCs w:val="28"/>
        </w:rPr>
        <w:t xml:space="preserve">  </w:t>
      </w:r>
      <w:r>
        <w:rPr>
          <w:rFonts w:hint="eastAsia" w:ascii="仿宋_GB2312" w:hAnsi="仿宋" w:eastAsia="仿宋_GB2312" w:cs="仿宋"/>
          <w:b/>
          <w:color w:val="000000"/>
          <w:sz w:val="28"/>
          <w:szCs w:val="28"/>
        </w:rPr>
        <w:t xml:space="preserve">  九、附则</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1.本合同经双方签字（盖章）后生效，合同履行完毕后终止。</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2.本合同签订后工程不得转包。</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3.本合同一式肆份，发包方执三份，承包方执一份。</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4.竞争性磋商文件、合同附件（工程报价单）为本合同的组成部分，与本合同具有同等法律效力。</w:t>
      </w:r>
    </w:p>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 xml:space="preserve">  </w:t>
      </w:r>
    </w:p>
    <w:p>
      <w:pPr>
        <w:snapToGrid/>
        <w:spacing w:after="0"/>
        <w:rPr>
          <w:rFonts w:hint="eastAsia" w:ascii="仿宋_GB2312" w:hAnsi="仿宋" w:eastAsia="仿宋_GB2312" w:cs="仿宋"/>
          <w:color w:val="000000"/>
          <w:sz w:val="28"/>
          <w:szCs w:val="28"/>
        </w:rPr>
      </w:pPr>
    </w:p>
    <w:p>
      <w:pPr>
        <w:snapToGrid/>
        <w:spacing w:after="0"/>
        <w:rPr>
          <w:rFonts w:hint="eastAsia" w:ascii="仿宋_GB2312" w:hAnsi="仿宋" w:eastAsia="仿宋_GB2312" w:cs="仿宋"/>
          <w:color w:val="000000"/>
          <w:sz w:val="28"/>
          <w:szCs w:val="28"/>
        </w:rPr>
      </w:pPr>
    </w:p>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发包方（甲方）：盖章                   承包方（乙方）：盖章</w:t>
      </w:r>
    </w:p>
    <w:p>
      <w:pPr>
        <w:snapToGrid/>
        <w:spacing w:after="0"/>
        <w:rPr>
          <w:rFonts w:hint="eastAsia" w:ascii="仿宋_GB2312" w:hAnsi="仿宋" w:eastAsia="仿宋_GB2312" w:cs="仿宋"/>
          <w:color w:val="000000"/>
          <w:sz w:val="28"/>
          <w:szCs w:val="28"/>
        </w:rPr>
      </w:pPr>
    </w:p>
    <w:p>
      <w:pPr>
        <w:rPr>
          <w:rFonts w:hint="eastAsia" w:ascii="仿宋_GB2312" w:eastAsia="仿宋_GB2312"/>
          <w:sz w:val="28"/>
          <w:szCs w:val="28"/>
        </w:rPr>
      </w:pPr>
    </w:p>
    <w:p>
      <w:pPr>
        <w:rPr>
          <w:rFonts w:hint="eastAsia" w:ascii="仿宋_GB2312" w:eastAsia="仿宋_GB2312"/>
          <w:sz w:val="28"/>
          <w:szCs w:val="28"/>
        </w:rPr>
      </w:pPr>
    </w:p>
    <w:p>
      <w:pPr>
        <w:snapToGrid/>
        <w:spacing w:after="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日期：                                  日期：</w:t>
      </w:r>
    </w:p>
    <w:p>
      <w:pPr>
        <w:snapToGrid/>
        <w:spacing w:after="0"/>
        <w:rPr>
          <w:rFonts w:hint="eastAsia" w:ascii="仿宋_GB2312" w:hAnsi="仿宋" w:eastAsia="仿宋_GB2312" w:cs="仿宋"/>
          <w:color w:val="000000"/>
          <w:sz w:val="28"/>
          <w:szCs w:val="28"/>
        </w:rPr>
      </w:pPr>
    </w:p>
    <w:p>
      <w:pPr>
        <w:pStyle w:val="4"/>
        <w:spacing w:before="0" w:after="0" w:line="420" w:lineRule="auto"/>
        <w:rPr>
          <w:rFonts w:asciiTheme="majorEastAsia" w:hAnsiTheme="majorEastAsia" w:eastAsiaTheme="majorEastAsia"/>
          <w:color w:val="000000"/>
          <w:sz w:val="36"/>
          <w:szCs w:val="36"/>
        </w:rPr>
      </w:pPr>
      <w:r>
        <w:rPr>
          <w:rFonts w:hint="eastAsia" w:asciiTheme="majorEastAsia" w:hAnsiTheme="majorEastAsia" w:eastAsiaTheme="majorEastAsia"/>
          <w:color w:val="000000"/>
          <w:sz w:val="36"/>
          <w:szCs w:val="36"/>
        </w:rPr>
        <w:t>第五部分   磋商程序及评定成交标准</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一、总则</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1.磋商是指对磋商文件响应程度及要求的服务、商务报价、售后服务承诺和供应商的信誉等进行确认并优化的过程。</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2.竞争性磋商内容：磋商文件中采购需求及相关服务，仅为基本需求及服务要求，供应商可以重新承诺优于或高于本磋商文件中的所有配置及服务承诺。</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二、磋商小组人员组成：</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磋商小组组成:采购人依法将组织5人磋商小组，采购人代表1名；磋商小组负责本次项目所有磋商任务，包括全程磋商、推荐磋商成交候选人、填写磋商采购结果报告等。</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三、报价算术性修正：</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响应文件中大写金额与小写金额不一致的，以大写金额为准；</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四、评审原则</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评标委员会必须公平、公正、客观，不带任何倾向性和启发性；不得向外界透露任何与评标有关的内容；任何单位和个人不得干扰、影响评标的正常进行；评标委员会及有关工作人员不得私下与供应商接触。</w:t>
      </w:r>
    </w:p>
    <w:p>
      <w:pPr>
        <w:snapToGrid/>
        <w:spacing w:after="0"/>
        <w:ind w:firstLine="703" w:firstLineChars="25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五、定标及定标程序</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（一）定标原则：根据磋商小组推荐的成交候选人名单，并按照综合评分的高低排列顺序，确定成交供应商。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（二）定标程序</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磋商小组将评标情况写出书面评审报告，推荐1名成交候选人，并按照综合评分的高低排列顺序，排列第一的为成交供应商；如供应商综合得分相同的，报价低者为成交供应商。若综合得分、报价均相同的，则</w:t>
      </w:r>
      <w:r>
        <w:rPr>
          <w:rFonts w:hint="eastAsia" w:ascii="仿宋_GB2312" w:hAnsi="仿宋" w:eastAsia="仿宋_GB2312" w:cs="仿宋"/>
          <w:color w:val="000000"/>
          <w:sz w:val="28"/>
          <w:szCs w:val="28"/>
          <w:lang w:val="en-US" w:eastAsia="zh-CN"/>
        </w:rPr>
        <w:t>抽签</w:t>
      </w:r>
      <w:r>
        <w:rPr>
          <w:rFonts w:hint="eastAsia" w:ascii="仿宋_GB2312" w:hAnsi="仿宋" w:eastAsia="仿宋_GB2312" w:cs="仿宋"/>
          <w:color w:val="000000"/>
          <w:sz w:val="28"/>
          <w:szCs w:val="28"/>
        </w:rPr>
        <w:t>选取成交候选人。</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（2）根据磋商小组确定的成交供应商，采购人在</w:t>
      </w:r>
      <w:r>
        <w:fldChar w:fldCharType="begin"/>
      </w:r>
      <w:r>
        <w:instrText xml:space="preserve"> HYPERLINK "http://www.qzct.org.cn/about.aspx?Id=2" </w:instrText>
      </w:r>
      <w:r>
        <w:fldChar w:fldCharType="separate"/>
      </w:r>
      <w:r>
        <w:rPr>
          <w:rFonts w:hint="eastAsia" w:ascii="仿宋_GB2312" w:hAnsi="仿宋" w:eastAsia="仿宋_GB2312" w:cs="仿宋"/>
          <w:color w:val="000000"/>
          <w:sz w:val="28"/>
          <w:szCs w:val="28"/>
        </w:rPr>
        <w:t>衢州市城市建设投资集团有限公司</w:t>
      </w:r>
      <w:r>
        <w:rPr>
          <w:rFonts w:hint="eastAsia" w:ascii="仿宋_GB2312" w:hAnsi="仿宋" w:eastAsia="仿宋_GB2312" w:cs="仿宋"/>
          <w:color w:val="000000"/>
          <w:sz w:val="28"/>
          <w:szCs w:val="28"/>
        </w:rPr>
        <w:fldChar w:fldCharType="end"/>
      </w:r>
      <w:r>
        <w:rPr>
          <w:rFonts w:hint="eastAsia" w:ascii="仿宋_GB2312" w:hAnsi="仿宋" w:eastAsia="仿宋_GB2312" w:cs="仿宋"/>
          <w:color w:val="000000"/>
          <w:sz w:val="28"/>
          <w:szCs w:val="28"/>
        </w:rPr>
        <w:t>官网（http://www.qzct.org.cn/）发布成交公告。</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（3）采购人不解释成交或落标原因，不退回磋商响应文件和其他磋商资料。</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六、评分标准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本项目采用综合评分法，总分为100分，其中技术资信分30分，商务分70分。磋商委员会将对实质上响应磋商文件的响应人，根据技术资信情况由各评委独立记名打分。磋商小组将评审情况写出书面评审报告，推荐1名成交候选人，并按照综合评分的高低排列顺序，排列第一为成交供应商；如供应商综合得分相同的，报价低者为成交供应商。若综合得分、报价均相同的，则摇号选取成交候选人。</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2.磋商委员会根据磋商文件和磋商响应文件，结合技术评分细则对各供应商的技术资信部分进行评审。磋商委员会各成员所评分值的算术平均值即为各的技术分值（计算时四舍五入保留二位小数）。</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3.响应人评审综合得分=商务分+技术资信分</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七、评标细则</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1、响应报价（70分）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1）价格分统一采用低价优先法计算，即满足磋商文件要求且最后报价最低的供应商的价格为磋商基准价，其价格分为满分70分。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2）其他供应商的价格分统一按照下列公式计算：磋商报价得分=(磋商基准价／最后磋商报价)×70分。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3）▲本项目采购预算总价17万元，供应商报价超过采购预算总价的作无效报价处理。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注：当供应商的报价明显低于其他供应商的报价或磋商委员会认为供应商的报价低于成本，有可能影响服务质量和不能诚信履约的，磋商委员会要求供应商对响应报价进行说明，无正当说明理由或不能提供相关证明材料的，由磋商委员会认定该供应商以低于成本响应竞标，则视为无效响应。无效响应和超过预算的响应报价不进入商务报价分和总分的计算，也不作为评标基准价的计算内容。</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特别提醒：磋商委员会针对响应人报价进行磋商，并要求其在规定时间内提交最后报价，磋商响应人最后报价不得高于上轮的报价，将有效响应人的最后报价运用低价优先法计算出商务分，采购人从磋商小组提出的成交候选供应商中根据符合采购需求、质量和服务相等且综合得分最高的原则确定成交供应商，并将结果通知所有参加磋商的未成交的供应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3、技术资信评标细则（30分）</w:t>
      </w:r>
    </w:p>
    <w:tbl>
      <w:tblPr>
        <w:tblStyle w:val="13"/>
        <w:tblpPr w:leftFromText="180" w:rightFromText="180" w:vertAnchor="text" w:horzAnchor="page" w:tblpX="1218" w:tblpY="3744"/>
        <w:tblOverlap w:val="never"/>
        <w:tblW w:w="99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391"/>
        <w:gridCol w:w="6321"/>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794" w:type="dxa"/>
            <w:vAlign w:val="center"/>
          </w:tcPr>
          <w:p>
            <w:pPr>
              <w:pStyle w:val="3"/>
              <w:widowControl w:val="0"/>
              <w:jc w:val="center"/>
              <w:rPr>
                <w:rFonts w:hint="eastAsia" w:ascii="仿宋_GB2312"/>
                <w:sz w:val="28"/>
                <w:szCs w:val="28"/>
              </w:rPr>
            </w:pPr>
            <w:r>
              <w:rPr>
                <w:rFonts w:hint="eastAsia" w:ascii="仿宋_GB2312"/>
                <w:sz w:val="28"/>
                <w:szCs w:val="28"/>
              </w:rPr>
              <w:t>序号</w:t>
            </w:r>
          </w:p>
        </w:tc>
        <w:tc>
          <w:tcPr>
            <w:tcW w:w="1391" w:type="dxa"/>
            <w:vAlign w:val="center"/>
          </w:tcPr>
          <w:p>
            <w:pPr>
              <w:pStyle w:val="3"/>
              <w:widowControl w:val="0"/>
              <w:jc w:val="center"/>
              <w:rPr>
                <w:rFonts w:hint="eastAsia" w:ascii="仿宋_GB2312"/>
                <w:sz w:val="28"/>
                <w:szCs w:val="28"/>
              </w:rPr>
            </w:pPr>
            <w:r>
              <w:rPr>
                <w:rFonts w:hint="eastAsia" w:ascii="仿宋_GB2312"/>
                <w:sz w:val="28"/>
                <w:szCs w:val="28"/>
              </w:rPr>
              <w:t>评审要素</w:t>
            </w:r>
          </w:p>
        </w:tc>
        <w:tc>
          <w:tcPr>
            <w:tcW w:w="6321" w:type="dxa"/>
            <w:vAlign w:val="center"/>
          </w:tcPr>
          <w:p>
            <w:pPr>
              <w:pStyle w:val="3"/>
              <w:widowControl w:val="0"/>
              <w:jc w:val="center"/>
              <w:rPr>
                <w:rFonts w:hint="eastAsia" w:ascii="仿宋_GB2312"/>
                <w:sz w:val="28"/>
                <w:szCs w:val="28"/>
              </w:rPr>
            </w:pPr>
            <w:r>
              <w:rPr>
                <w:rFonts w:hint="eastAsia" w:ascii="仿宋_GB2312"/>
                <w:sz w:val="28"/>
                <w:szCs w:val="28"/>
              </w:rPr>
              <w:t>评分标准</w:t>
            </w:r>
          </w:p>
        </w:tc>
        <w:tc>
          <w:tcPr>
            <w:tcW w:w="1438" w:type="dxa"/>
            <w:vAlign w:val="center"/>
          </w:tcPr>
          <w:p>
            <w:pPr>
              <w:pStyle w:val="3"/>
              <w:widowControl w:val="0"/>
              <w:jc w:val="center"/>
              <w:rPr>
                <w:rFonts w:hint="eastAsia" w:ascii="仿宋_GB2312"/>
                <w:sz w:val="28"/>
                <w:szCs w:val="28"/>
              </w:rPr>
            </w:pPr>
            <w:r>
              <w:rPr>
                <w:rFonts w:hint="eastAsia" w:ascii="仿宋_GB2312"/>
                <w:sz w:val="28"/>
                <w:szCs w:val="28"/>
              </w:rPr>
              <w:t>最高分值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94" w:type="dxa"/>
            <w:vAlign w:val="center"/>
          </w:tcPr>
          <w:p>
            <w:pPr>
              <w:pStyle w:val="3"/>
              <w:widowControl w:val="0"/>
              <w:jc w:val="center"/>
              <w:rPr>
                <w:rFonts w:hint="eastAsia" w:ascii="仿宋_GB2312"/>
                <w:sz w:val="28"/>
                <w:szCs w:val="28"/>
              </w:rPr>
            </w:pPr>
            <w:r>
              <w:rPr>
                <w:rFonts w:hint="eastAsia" w:ascii="仿宋_GB2312"/>
                <w:sz w:val="28"/>
                <w:szCs w:val="28"/>
              </w:rPr>
              <w:t>1</w:t>
            </w:r>
          </w:p>
        </w:tc>
        <w:tc>
          <w:tcPr>
            <w:tcW w:w="1391" w:type="dxa"/>
            <w:vAlign w:val="center"/>
          </w:tcPr>
          <w:p>
            <w:pPr>
              <w:pStyle w:val="3"/>
              <w:widowControl w:val="0"/>
              <w:jc w:val="center"/>
              <w:rPr>
                <w:rFonts w:hint="eastAsia" w:ascii="仿宋_GB2312"/>
                <w:sz w:val="28"/>
                <w:szCs w:val="28"/>
              </w:rPr>
            </w:pPr>
            <w:r>
              <w:rPr>
                <w:rFonts w:hint="eastAsia" w:ascii="仿宋_GB2312"/>
                <w:sz w:val="28"/>
                <w:szCs w:val="28"/>
              </w:rPr>
              <w:t>施工组织方案和计划</w:t>
            </w:r>
          </w:p>
        </w:tc>
        <w:tc>
          <w:tcPr>
            <w:tcW w:w="6321" w:type="dxa"/>
            <w:vAlign w:val="center"/>
          </w:tcPr>
          <w:p>
            <w:pPr>
              <w:pStyle w:val="3"/>
              <w:widowControl w:val="0"/>
              <w:jc w:val="center"/>
              <w:rPr>
                <w:rFonts w:hint="eastAsia" w:ascii="仿宋_GB2312"/>
                <w:sz w:val="28"/>
                <w:szCs w:val="28"/>
              </w:rPr>
            </w:pPr>
            <w:r>
              <w:rPr>
                <w:rFonts w:hint="eastAsia" w:ascii="仿宋_GB2312"/>
                <w:sz w:val="28"/>
                <w:szCs w:val="28"/>
              </w:rPr>
              <w:t>由评委依据供应商提供的实施方案施工计划，0-15分。本项最高得10分。</w:t>
            </w:r>
          </w:p>
        </w:tc>
        <w:tc>
          <w:tcPr>
            <w:tcW w:w="1438" w:type="dxa"/>
            <w:vAlign w:val="center"/>
          </w:tcPr>
          <w:p>
            <w:pPr>
              <w:pStyle w:val="3"/>
              <w:widowControl w:val="0"/>
              <w:jc w:val="center"/>
              <w:rPr>
                <w:rFonts w:hint="eastAsia" w:ascii="仿宋_GB2312"/>
                <w:sz w:val="28"/>
                <w:szCs w:val="28"/>
              </w:rPr>
            </w:pPr>
            <w:r>
              <w:rPr>
                <w:rFonts w:hint="eastAsia" w:ascii="仿宋_GB2312"/>
                <w:sz w:val="28"/>
                <w:szCs w:val="28"/>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5" w:hRule="atLeast"/>
        </w:trPr>
        <w:tc>
          <w:tcPr>
            <w:tcW w:w="794" w:type="dxa"/>
            <w:vAlign w:val="center"/>
          </w:tcPr>
          <w:p>
            <w:pPr>
              <w:pStyle w:val="3"/>
              <w:widowControl w:val="0"/>
              <w:jc w:val="center"/>
              <w:rPr>
                <w:rFonts w:hint="eastAsia" w:ascii="仿宋_GB2312"/>
                <w:sz w:val="28"/>
                <w:szCs w:val="28"/>
              </w:rPr>
            </w:pPr>
            <w:r>
              <w:rPr>
                <w:rFonts w:hint="eastAsia" w:ascii="仿宋_GB2312"/>
                <w:sz w:val="28"/>
                <w:szCs w:val="28"/>
              </w:rPr>
              <w:t>2</w:t>
            </w:r>
          </w:p>
        </w:tc>
        <w:tc>
          <w:tcPr>
            <w:tcW w:w="1391" w:type="dxa"/>
            <w:vAlign w:val="center"/>
          </w:tcPr>
          <w:p>
            <w:pPr>
              <w:pStyle w:val="3"/>
              <w:widowControl w:val="0"/>
              <w:jc w:val="center"/>
              <w:rPr>
                <w:rFonts w:hint="eastAsia" w:ascii="仿宋_GB2312"/>
                <w:sz w:val="28"/>
                <w:szCs w:val="28"/>
              </w:rPr>
            </w:pPr>
            <w:r>
              <w:rPr>
                <w:rFonts w:hint="eastAsia" w:ascii="仿宋_GB2312"/>
                <w:sz w:val="28"/>
                <w:szCs w:val="28"/>
              </w:rPr>
              <w:t>申报工程</w:t>
            </w:r>
          </w:p>
          <w:p>
            <w:pPr>
              <w:pStyle w:val="3"/>
              <w:widowControl w:val="0"/>
              <w:jc w:val="center"/>
              <w:rPr>
                <w:rFonts w:hint="eastAsia" w:ascii="仿宋_GB2312"/>
                <w:sz w:val="28"/>
                <w:szCs w:val="28"/>
              </w:rPr>
            </w:pPr>
            <w:r>
              <w:rPr>
                <w:rFonts w:hint="eastAsia" w:ascii="仿宋_GB2312"/>
                <w:sz w:val="28"/>
                <w:szCs w:val="28"/>
              </w:rPr>
              <w:t>期限</w:t>
            </w:r>
          </w:p>
        </w:tc>
        <w:tc>
          <w:tcPr>
            <w:tcW w:w="6321" w:type="dxa"/>
            <w:vAlign w:val="center"/>
          </w:tcPr>
          <w:p>
            <w:pPr>
              <w:pStyle w:val="3"/>
              <w:widowControl w:val="0"/>
              <w:jc w:val="center"/>
              <w:rPr>
                <w:rFonts w:hint="eastAsia" w:ascii="仿宋_GB2312"/>
                <w:sz w:val="28"/>
                <w:szCs w:val="28"/>
              </w:rPr>
            </w:pPr>
            <w:r>
              <w:rPr>
                <w:rFonts w:hint="eastAsia" w:ascii="仿宋_GB2312"/>
                <w:sz w:val="28"/>
                <w:szCs w:val="28"/>
              </w:rPr>
              <w:t>申报工程期限最短的，得5分，第二名得3分，第三名得2分，第4名得1分。</w:t>
            </w:r>
          </w:p>
        </w:tc>
        <w:tc>
          <w:tcPr>
            <w:tcW w:w="1438" w:type="dxa"/>
            <w:vAlign w:val="center"/>
          </w:tcPr>
          <w:p>
            <w:pPr>
              <w:pStyle w:val="3"/>
              <w:widowControl w:val="0"/>
              <w:jc w:val="center"/>
              <w:rPr>
                <w:rFonts w:hint="eastAsia" w:ascii="仿宋_GB2312"/>
                <w:sz w:val="28"/>
                <w:szCs w:val="28"/>
              </w:rPr>
            </w:pPr>
            <w:r>
              <w:rPr>
                <w:rFonts w:hint="eastAsia" w:ascii="仿宋_GB2312"/>
                <w:sz w:val="28"/>
                <w:szCs w:val="28"/>
              </w:rPr>
              <w:t>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94" w:type="dxa"/>
            <w:vAlign w:val="center"/>
          </w:tcPr>
          <w:p>
            <w:pPr>
              <w:pStyle w:val="3"/>
              <w:widowControl w:val="0"/>
              <w:jc w:val="center"/>
              <w:rPr>
                <w:rFonts w:hint="eastAsia" w:ascii="仿宋_GB2312"/>
                <w:sz w:val="28"/>
                <w:szCs w:val="28"/>
              </w:rPr>
            </w:pPr>
            <w:r>
              <w:rPr>
                <w:rFonts w:hint="eastAsia" w:ascii="仿宋_GB2312"/>
                <w:sz w:val="28"/>
                <w:szCs w:val="28"/>
              </w:rPr>
              <w:t>3</w:t>
            </w:r>
          </w:p>
        </w:tc>
        <w:tc>
          <w:tcPr>
            <w:tcW w:w="1391" w:type="dxa"/>
            <w:vAlign w:val="center"/>
          </w:tcPr>
          <w:p>
            <w:pPr>
              <w:pStyle w:val="3"/>
              <w:widowControl w:val="0"/>
              <w:jc w:val="center"/>
              <w:rPr>
                <w:rFonts w:hint="eastAsia" w:ascii="仿宋_GB2312"/>
                <w:sz w:val="28"/>
                <w:szCs w:val="28"/>
              </w:rPr>
            </w:pPr>
            <w:r>
              <w:rPr>
                <w:rFonts w:hint="eastAsia" w:ascii="仿宋_GB2312"/>
                <w:sz w:val="28"/>
                <w:szCs w:val="28"/>
              </w:rPr>
              <w:t>施工人数</w:t>
            </w:r>
          </w:p>
        </w:tc>
        <w:tc>
          <w:tcPr>
            <w:tcW w:w="6321" w:type="dxa"/>
            <w:vAlign w:val="center"/>
          </w:tcPr>
          <w:p>
            <w:pPr>
              <w:pStyle w:val="3"/>
              <w:widowControl w:val="0"/>
              <w:jc w:val="center"/>
              <w:rPr>
                <w:rFonts w:hint="eastAsia" w:ascii="仿宋_GB2312"/>
                <w:sz w:val="28"/>
                <w:szCs w:val="28"/>
              </w:rPr>
            </w:pPr>
            <w:r>
              <w:rPr>
                <w:rFonts w:hint="eastAsia" w:ascii="仿宋_GB2312"/>
                <w:sz w:val="28"/>
                <w:szCs w:val="28"/>
              </w:rPr>
              <w:t>安排施工人数最多的，得5分，第二名得3分，第三名得2分，第4名得1分。</w:t>
            </w:r>
          </w:p>
        </w:tc>
        <w:tc>
          <w:tcPr>
            <w:tcW w:w="1438" w:type="dxa"/>
            <w:vAlign w:val="center"/>
          </w:tcPr>
          <w:p>
            <w:pPr>
              <w:pStyle w:val="3"/>
              <w:widowControl w:val="0"/>
              <w:jc w:val="center"/>
              <w:rPr>
                <w:rFonts w:hint="eastAsia" w:ascii="仿宋_GB2312"/>
                <w:sz w:val="28"/>
                <w:szCs w:val="28"/>
              </w:rPr>
            </w:pPr>
            <w:r>
              <w:rPr>
                <w:rFonts w:hint="eastAsia" w:ascii="仿宋_GB2312"/>
                <w:sz w:val="28"/>
                <w:szCs w:val="28"/>
              </w:rPr>
              <w:t>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794" w:type="dxa"/>
            <w:vAlign w:val="center"/>
          </w:tcPr>
          <w:p>
            <w:pPr>
              <w:pStyle w:val="3"/>
              <w:widowControl w:val="0"/>
              <w:jc w:val="center"/>
              <w:rPr>
                <w:rFonts w:hint="eastAsia" w:ascii="仿宋_GB2312"/>
                <w:sz w:val="28"/>
                <w:szCs w:val="28"/>
              </w:rPr>
            </w:pPr>
            <w:r>
              <w:rPr>
                <w:rFonts w:hint="eastAsia" w:ascii="仿宋_GB2312"/>
                <w:sz w:val="28"/>
                <w:szCs w:val="28"/>
              </w:rPr>
              <w:t>4</w:t>
            </w:r>
          </w:p>
        </w:tc>
        <w:tc>
          <w:tcPr>
            <w:tcW w:w="1391" w:type="dxa"/>
            <w:vAlign w:val="center"/>
          </w:tcPr>
          <w:p>
            <w:pPr>
              <w:pStyle w:val="3"/>
              <w:widowControl w:val="0"/>
              <w:jc w:val="center"/>
              <w:rPr>
                <w:rFonts w:hint="eastAsia" w:ascii="仿宋_GB2312"/>
                <w:sz w:val="28"/>
                <w:szCs w:val="28"/>
              </w:rPr>
            </w:pPr>
            <w:r>
              <w:rPr>
                <w:rFonts w:hint="eastAsia" w:ascii="仿宋_GB2312"/>
                <w:sz w:val="28"/>
                <w:szCs w:val="28"/>
              </w:rPr>
              <w:t>其他优惠和承诺</w:t>
            </w:r>
          </w:p>
        </w:tc>
        <w:tc>
          <w:tcPr>
            <w:tcW w:w="6321" w:type="dxa"/>
            <w:vAlign w:val="center"/>
          </w:tcPr>
          <w:p>
            <w:pPr>
              <w:pStyle w:val="3"/>
              <w:widowControl w:val="0"/>
              <w:jc w:val="center"/>
              <w:rPr>
                <w:rFonts w:hint="eastAsia" w:ascii="仿宋_GB2312"/>
                <w:sz w:val="28"/>
                <w:szCs w:val="28"/>
              </w:rPr>
            </w:pPr>
            <w:r>
              <w:rPr>
                <w:rFonts w:hint="eastAsia" w:ascii="仿宋_GB2312"/>
                <w:sz w:val="28"/>
                <w:szCs w:val="28"/>
              </w:rPr>
              <w:t>根据供应商的实际优惠和承诺（如额外的培训及其他实际优惠承诺等），由专家自选比较打分。</w:t>
            </w:r>
          </w:p>
        </w:tc>
        <w:tc>
          <w:tcPr>
            <w:tcW w:w="1438" w:type="dxa"/>
            <w:vAlign w:val="center"/>
          </w:tcPr>
          <w:p>
            <w:pPr>
              <w:pStyle w:val="3"/>
              <w:widowControl w:val="0"/>
              <w:jc w:val="center"/>
              <w:rPr>
                <w:rFonts w:hint="eastAsia" w:ascii="仿宋_GB2312"/>
                <w:sz w:val="28"/>
                <w:szCs w:val="28"/>
              </w:rPr>
            </w:pPr>
            <w:r>
              <w:rPr>
                <w:rFonts w:hint="eastAsia" w:ascii="仿宋_GB2312"/>
                <w:sz w:val="28"/>
                <w:szCs w:val="28"/>
              </w:rPr>
              <w:t>0-5分</w:t>
            </w:r>
          </w:p>
        </w:tc>
      </w:tr>
    </w:tbl>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本次磋商技术资信文件评分的评定由各评委成员按评分细则进行评审打分，每人一张评分计算表，并记名。磋商文件各项评分内容由评标委员会成员各自独立评分，如任何一张表的一项评分内容分值超过规定的范围，则该张表无效。各评标委员会成员对各供应商的各项评分内容评分合计的算术平均值为各供应商技术资信文件得分（小数点后按四舍五入保留2位）。</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注：上述评分表中所涉及到的证书及相关证明材料，要求供应商提供的材料必须真实可信，所有证书及证明材</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料复印件加盖公章，原件在磋商截至时间前递交，评审以原件为准（未提供原件不得分）。若提供的材料被核实为虚假的，则作废标处理。</w:t>
      </w:r>
    </w:p>
    <w:p>
      <w:pPr>
        <w:snapToGrid/>
        <w:spacing w:after="0"/>
        <w:ind w:firstLine="562" w:firstLineChars="200"/>
        <w:rPr>
          <w:rFonts w:hint="eastAsia" w:ascii="仿宋_GB2312" w:hAnsi="仿宋" w:eastAsia="仿宋_GB2312" w:cs="仿宋"/>
          <w:b/>
          <w:color w:val="000000"/>
          <w:sz w:val="28"/>
          <w:szCs w:val="28"/>
        </w:rPr>
      </w:pPr>
      <w:r>
        <w:rPr>
          <w:rFonts w:hint="eastAsia" w:ascii="仿宋_GB2312" w:hAnsi="仿宋" w:eastAsia="仿宋_GB2312" w:cs="仿宋"/>
          <w:b/>
          <w:color w:val="000000"/>
          <w:sz w:val="28"/>
          <w:szCs w:val="28"/>
        </w:rPr>
        <w:t>八、磋商程序</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（一）主持人宣布磋商截止时间，磋商截止时间以国家授时中心标准时间为准；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（二）采购代理机构确认供应商代表资格、到场及磋商保证金交纳等情况；</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（三）由供应商代表检查各供应商的标函密封情况；</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（四）由公证处按先到后开顺序当众启封检查合格的供应商的资格证明文件，送评标室给磋商委员会独立进行符合性审查，宣布资格审查结果；</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（五）由公证处当众启封资格审查合格的供应商的技术资信文件，送评标室给磋商委员会独立进行符合性审查，评委根据需要进行询标；</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（六）由采购代理机构按先到后开顺序当众启封通过符合性审查的“商务文件” 并送评标室给磋商委员会评审，商务报价文件中的报价不公开。</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七）如磋商小组认为需要磋商的，磋商小组所有成员分别与通过商务文件、技术资信文件、资格证明文件评审的每一位供应商（供应商法定代表人或其授权代表必须在场，否则，取消其磋商资格）分别进行磋商。磋商的内容可能涉及服务要求、价格、售后服务、合同草案，采购人的权利和义务、履约期限和方式、资金支付要求、验收标准等。供应商所作的重要答复均应补充以书面形式，并经法定代表人或其授权代表签字（或盖章），作为磋商响应文件的一部分，对供应商有约束力。在磋商中，磋商的任何一方不得透露与磋商有关的其他供应商的技术资料、价格和其他信息。</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八）磋商轮次不超过2轮（商务报价文件中的报价为第一轮，通过商务文件、技术资信、资格证明文件评审后磋商的报价为第二轮报价）；磋商响应方在规定时间内进行第二轮报价将作为最终报价，第二次报价不得高于第一次报价，否则做否决其磋商响应处理。</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（九）公证处宣布第一轮、第二轮报价及技术资信文件的评审结果。</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（十）磋商委员会将对入围单位的第二次报价进行评审；</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（十一）采购代理机构宣布各磋商单位的首次报价和二次报价评审结果；</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（十二）采购人宣布成交候选单位；</w:t>
      </w:r>
    </w:p>
    <w:p>
      <w:pPr>
        <w:snapToGrid/>
        <w:spacing w:after="0"/>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（十三）开标会结束。</w:t>
      </w:r>
    </w:p>
    <w:p>
      <w:pPr>
        <w:pStyle w:val="2"/>
        <w:jc w:val="center"/>
        <w:rPr>
          <w:rFonts w:hint="eastAsia" w:ascii="仿宋_GB2312" w:hAnsi="宋体" w:eastAsia="仿宋_GB2312" w:cs="宋体"/>
          <w:sz w:val="28"/>
          <w:szCs w:val="28"/>
        </w:rPr>
      </w:pPr>
    </w:p>
    <w:p>
      <w:pPr>
        <w:pStyle w:val="2"/>
        <w:jc w:val="center"/>
        <w:rPr>
          <w:rFonts w:hint="eastAsia" w:ascii="仿宋_GB2312" w:hAnsi="宋体" w:eastAsia="仿宋_GB2312" w:cs="宋体"/>
          <w:sz w:val="28"/>
          <w:szCs w:val="28"/>
        </w:rPr>
      </w:pPr>
    </w:p>
    <w:p>
      <w:pPr>
        <w:pStyle w:val="2"/>
        <w:jc w:val="center"/>
        <w:rPr>
          <w:rFonts w:hint="eastAsia" w:ascii="仿宋_GB2312" w:hAnsi="宋体" w:eastAsia="仿宋_GB2312" w:cs="宋体"/>
          <w:sz w:val="28"/>
          <w:szCs w:val="28"/>
        </w:rPr>
      </w:pPr>
    </w:p>
    <w:p>
      <w:pPr>
        <w:pStyle w:val="2"/>
        <w:jc w:val="center"/>
        <w:rPr>
          <w:rFonts w:hint="eastAsia" w:ascii="仿宋_GB2312" w:hAnsi="宋体" w:eastAsia="仿宋_GB2312" w:cs="宋体"/>
          <w:sz w:val="28"/>
          <w:szCs w:val="28"/>
        </w:rPr>
      </w:pPr>
    </w:p>
    <w:p>
      <w:pPr>
        <w:pStyle w:val="2"/>
        <w:jc w:val="center"/>
        <w:rPr>
          <w:rFonts w:hint="eastAsia" w:ascii="仿宋_GB2312" w:hAnsi="宋体" w:eastAsia="仿宋_GB2312" w:cs="宋体"/>
          <w:sz w:val="28"/>
          <w:szCs w:val="28"/>
        </w:rPr>
      </w:pPr>
    </w:p>
    <w:p>
      <w:pPr>
        <w:pStyle w:val="2"/>
        <w:jc w:val="center"/>
        <w:rPr>
          <w:rFonts w:hint="eastAsia" w:ascii="仿宋_GB2312" w:hAnsi="宋体" w:eastAsia="仿宋_GB2312" w:cs="宋体"/>
          <w:sz w:val="28"/>
          <w:szCs w:val="28"/>
        </w:rPr>
      </w:pPr>
    </w:p>
    <w:p>
      <w:pPr>
        <w:pStyle w:val="2"/>
        <w:jc w:val="center"/>
        <w:rPr>
          <w:rFonts w:hint="eastAsia" w:cs="宋体" w:asciiTheme="majorEastAsia" w:hAnsiTheme="majorEastAsia" w:eastAsiaTheme="majorEastAsia"/>
          <w:b/>
          <w:sz w:val="36"/>
          <w:szCs w:val="36"/>
        </w:rPr>
      </w:pPr>
      <w:r>
        <w:rPr>
          <w:rFonts w:hint="eastAsia" w:cs="宋体" w:asciiTheme="majorEastAsia" w:hAnsiTheme="majorEastAsia" w:eastAsiaTheme="majorEastAsia"/>
          <w:b/>
          <w:sz w:val="36"/>
          <w:szCs w:val="36"/>
        </w:rPr>
        <w:t>第六部分 磋商响应</w:t>
      </w:r>
      <w:r>
        <w:rPr>
          <w:rFonts w:hint="eastAsia" w:cs="宋体" w:asciiTheme="majorEastAsia" w:hAnsiTheme="majorEastAsia" w:eastAsiaTheme="majorEastAsia"/>
          <w:b/>
          <w:sz w:val="36"/>
          <w:szCs w:val="36"/>
          <w:lang w:val="en-US" w:eastAsia="zh-CN"/>
        </w:rPr>
        <w:t>报价</w:t>
      </w:r>
      <w:r>
        <w:rPr>
          <w:rFonts w:hint="eastAsia" w:cs="宋体" w:asciiTheme="majorEastAsia" w:hAnsiTheme="majorEastAsia" w:eastAsiaTheme="majorEastAsia"/>
          <w:b/>
          <w:sz w:val="36"/>
          <w:szCs w:val="36"/>
        </w:rPr>
        <w:t>文件格式</w:t>
      </w:r>
    </w:p>
    <w:p>
      <w:pPr>
        <w:pStyle w:val="2"/>
        <w:jc w:val="center"/>
        <w:rPr>
          <w:rFonts w:hint="eastAsia" w:cs="宋体" w:asciiTheme="majorEastAsia" w:hAnsiTheme="majorEastAsia" w:eastAsiaTheme="majorEastAsia"/>
          <w:b/>
          <w:sz w:val="36"/>
          <w:szCs w:val="36"/>
        </w:rPr>
      </w:pPr>
    </w:p>
    <w:tbl>
      <w:tblPr>
        <w:tblStyle w:val="14"/>
        <w:tblW w:w="89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541"/>
        <w:gridCol w:w="1704"/>
        <w:gridCol w:w="1705"/>
        <w:gridCol w:w="2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7" w:type="dxa"/>
          </w:tcPr>
          <w:p>
            <w:pPr>
              <w:pStyle w:val="3"/>
              <w:widowControl w:val="0"/>
              <w:jc w:val="center"/>
              <w:rPr>
                <w:rFonts w:hint="eastAsia" w:ascii="仿宋_GB2312"/>
                <w:sz w:val="28"/>
                <w:szCs w:val="28"/>
              </w:rPr>
            </w:pPr>
            <w:r>
              <w:rPr>
                <w:rFonts w:hint="eastAsia" w:ascii="仿宋_GB2312"/>
                <w:sz w:val="28"/>
                <w:szCs w:val="28"/>
              </w:rPr>
              <w:t>序号</w:t>
            </w:r>
          </w:p>
        </w:tc>
        <w:tc>
          <w:tcPr>
            <w:tcW w:w="2541" w:type="dxa"/>
          </w:tcPr>
          <w:p>
            <w:pPr>
              <w:pStyle w:val="3"/>
              <w:widowControl w:val="0"/>
              <w:jc w:val="center"/>
              <w:rPr>
                <w:rFonts w:hint="eastAsia" w:ascii="仿宋_GB2312"/>
                <w:sz w:val="28"/>
                <w:szCs w:val="28"/>
              </w:rPr>
            </w:pPr>
            <w:r>
              <w:rPr>
                <w:rFonts w:hint="eastAsia" w:ascii="仿宋_GB2312"/>
                <w:sz w:val="28"/>
                <w:szCs w:val="28"/>
              </w:rPr>
              <w:t>工程内容</w:t>
            </w:r>
          </w:p>
        </w:tc>
        <w:tc>
          <w:tcPr>
            <w:tcW w:w="1704" w:type="dxa"/>
          </w:tcPr>
          <w:p>
            <w:pPr>
              <w:pStyle w:val="3"/>
              <w:widowControl w:val="0"/>
              <w:jc w:val="center"/>
              <w:rPr>
                <w:rFonts w:hint="eastAsia" w:ascii="仿宋_GB2312"/>
                <w:sz w:val="28"/>
                <w:szCs w:val="28"/>
              </w:rPr>
            </w:pPr>
            <w:r>
              <w:rPr>
                <w:rFonts w:hint="eastAsia" w:ascii="仿宋_GB2312"/>
                <w:sz w:val="28"/>
                <w:szCs w:val="28"/>
              </w:rPr>
              <w:t>数量</w:t>
            </w:r>
          </w:p>
        </w:tc>
        <w:tc>
          <w:tcPr>
            <w:tcW w:w="1705" w:type="dxa"/>
          </w:tcPr>
          <w:p>
            <w:pPr>
              <w:pStyle w:val="3"/>
              <w:widowControl w:val="0"/>
              <w:jc w:val="center"/>
              <w:rPr>
                <w:rFonts w:hint="eastAsia" w:ascii="仿宋_GB2312"/>
                <w:sz w:val="28"/>
                <w:szCs w:val="28"/>
              </w:rPr>
            </w:pPr>
            <w:r>
              <w:rPr>
                <w:rFonts w:hint="eastAsia" w:ascii="仿宋_GB2312"/>
                <w:sz w:val="28"/>
                <w:szCs w:val="28"/>
              </w:rPr>
              <w:t>报价</w:t>
            </w:r>
          </w:p>
        </w:tc>
        <w:tc>
          <w:tcPr>
            <w:tcW w:w="2144" w:type="dxa"/>
          </w:tcPr>
          <w:p>
            <w:pPr>
              <w:pStyle w:val="3"/>
              <w:widowControl w:val="0"/>
              <w:jc w:val="center"/>
              <w:rPr>
                <w:rFonts w:hint="eastAsia" w:ascii="仿宋_GB2312"/>
                <w:sz w:val="28"/>
                <w:szCs w:val="28"/>
              </w:rPr>
            </w:pPr>
            <w:r>
              <w:rPr>
                <w:rFonts w:hint="eastAsia" w:ascii="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867" w:type="dxa"/>
          </w:tcPr>
          <w:p>
            <w:pPr>
              <w:pStyle w:val="3"/>
              <w:widowControl w:val="0"/>
              <w:jc w:val="both"/>
              <w:rPr>
                <w:rFonts w:hint="eastAsia" w:ascii="仿宋_GB2312"/>
                <w:sz w:val="28"/>
                <w:szCs w:val="28"/>
              </w:rPr>
            </w:pPr>
            <w:r>
              <w:rPr>
                <w:rFonts w:hint="eastAsia" w:ascii="仿宋_GB2312"/>
                <w:sz w:val="28"/>
                <w:szCs w:val="28"/>
              </w:rPr>
              <w:t>1</w:t>
            </w:r>
          </w:p>
        </w:tc>
        <w:tc>
          <w:tcPr>
            <w:tcW w:w="2541" w:type="dxa"/>
          </w:tcPr>
          <w:p>
            <w:pPr>
              <w:pStyle w:val="3"/>
              <w:widowControl w:val="0"/>
              <w:jc w:val="both"/>
              <w:rPr>
                <w:rFonts w:hint="eastAsia" w:ascii="仿宋_GB2312"/>
                <w:sz w:val="28"/>
                <w:szCs w:val="28"/>
              </w:rPr>
            </w:pPr>
            <w:r>
              <w:rPr>
                <w:rFonts w:hint="eastAsia" w:ascii="仿宋_GB2312"/>
                <w:sz w:val="28"/>
                <w:szCs w:val="28"/>
              </w:rPr>
              <w:t>CRT（海湾）设备</w:t>
            </w:r>
          </w:p>
          <w:p>
            <w:pPr>
              <w:pStyle w:val="3"/>
              <w:widowControl w:val="0"/>
              <w:jc w:val="both"/>
              <w:rPr>
                <w:rFonts w:hint="eastAsia" w:ascii="仿宋_GB2312"/>
                <w:sz w:val="28"/>
                <w:szCs w:val="28"/>
              </w:rPr>
            </w:pPr>
            <w:r>
              <w:rPr>
                <w:rFonts w:hint="eastAsia" w:ascii="仿宋_GB2312"/>
                <w:sz w:val="28"/>
                <w:szCs w:val="28"/>
                <w:lang w:val="en-US" w:eastAsia="zh-CN"/>
              </w:rPr>
              <w:t>型号：</w:t>
            </w:r>
            <w:r>
              <w:rPr>
                <w:rFonts w:hint="eastAsia" w:ascii="仿宋_GB2312"/>
                <w:sz w:val="28"/>
                <w:szCs w:val="28"/>
              </w:rPr>
              <w:t>GM9000</w:t>
            </w:r>
          </w:p>
        </w:tc>
        <w:tc>
          <w:tcPr>
            <w:tcW w:w="1704" w:type="dxa"/>
          </w:tcPr>
          <w:p>
            <w:pPr>
              <w:pStyle w:val="3"/>
              <w:widowControl w:val="0"/>
              <w:jc w:val="center"/>
              <w:rPr>
                <w:rFonts w:hint="eastAsia" w:ascii="仿宋_GB2312"/>
                <w:sz w:val="28"/>
                <w:szCs w:val="28"/>
              </w:rPr>
            </w:pPr>
            <w:r>
              <w:rPr>
                <w:rFonts w:hint="eastAsia" w:ascii="仿宋_GB2312"/>
                <w:sz w:val="28"/>
                <w:szCs w:val="28"/>
              </w:rPr>
              <w:t>1</w:t>
            </w:r>
          </w:p>
        </w:tc>
        <w:tc>
          <w:tcPr>
            <w:tcW w:w="1705" w:type="dxa"/>
          </w:tcPr>
          <w:p>
            <w:pPr>
              <w:pStyle w:val="3"/>
              <w:widowControl w:val="0"/>
              <w:jc w:val="both"/>
              <w:rPr>
                <w:rFonts w:hint="eastAsia" w:ascii="仿宋_GB2312"/>
                <w:sz w:val="28"/>
                <w:szCs w:val="28"/>
              </w:rPr>
            </w:pPr>
          </w:p>
        </w:tc>
        <w:tc>
          <w:tcPr>
            <w:tcW w:w="2144" w:type="dxa"/>
          </w:tcPr>
          <w:p>
            <w:pPr>
              <w:pStyle w:val="3"/>
              <w:widowControl w:val="0"/>
              <w:jc w:val="both"/>
              <w:rPr>
                <w:rFonts w:hint="eastAsia" w:ascii="仿宋_GB2312" w:eastAsia="仿宋_GB2312"/>
                <w:sz w:val="28"/>
                <w:szCs w:val="28"/>
                <w:lang w:eastAsia="zh-CN"/>
              </w:rPr>
            </w:pPr>
            <w:r>
              <w:rPr>
                <w:rFonts w:hint="eastAsia" w:ascii="仿宋_GB2312"/>
                <w:sz w:val="21"/>
                <w:szCs w:val="21"/>
              </w:rPr>
              <w:t>中标人提供的CRT必须</w:t>
            </w:r>
            <w:r>
              <w:rPr>
                <w:rFonts w:hint="eastAsia" w:ascii="仿宋_GB2312"/>
                <w:sz w:val="21"/>
                <w:szCs w:val="21"/>
                <w:lang w:val="en-US" w:eastAsia="zh-CN"/>
              </w:rPr>
              <w:t>是</w:t>
            </w:r>
            <w:r>
              <w:rPr>
                <w:rFonts w:hint="eastAsia" w:ascii="仿宋_GB2312"/>
                <w:sz w:val="21"/>
                <w:szCs w:val="21"/>
              </w:rPr>
              <w:t>最新</w:t>
            </w:r>
            <w:r>
              <w:rPr>
                <w:rFonts w:hint="eastAsia" w:ascii="仿宋_GB2312"/>
                <w:sz w:val="21"/>
                <w:szCs w:val="21"/>
                <w:lang w:val="en-US" w:eastAsia="zh-CN"/>
              </w:rPr>
              <w:t>款型号</w:t>
            </w:r>
            <w:r>
              <w:rPr>
                <w:rFonts w:hint="eastAsia" w:ascii="仿宋_GB2312"/>
                <w:sz w:val="21"/>
                <w:szCs w:val="21"/>
              </w:rPr>
              <w:t>且与消防报警主机兼容的型号设备</w:t>
            </w:r>
            <w:r>
              <w:rPr>
                <w:rFonts w:hint="eastAsia" w:ascii="仿宋_GB2312"/>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867" w:type="dxa"/>
          </w:tcPr>
          <w:p>
            <w:pPr>
              <w:pStyle w:val="3"/>
              <w:widowControl w:val="0"/>
              <w:jc w:val="both"/>
              <w:rPr>
                <w:rFonts w:hint="eastAsia" w:ascii="仿宋_GB2312"/>
                <w:sz w:val="28"/>
                <w:szCs w:val="28"/>
              </w:rPr>
            </w:pPr>
            <w:r>
              <w:rPr>
                <w:rFonts w:hint="eastAsia" w:ascii="仿宋_GB2312"/>
                <w:sz w:val="28"/>
                <w:szCs w:val="28"/>
              </w:rPr>
              <w:t>2</w:t>
            </w:r>
          </w:p>
        </w:tc>
        <w:tc>
          <w:tcPr>
            <w:tcW w:w="2541" w:type="dxa"/>
          </w:tcPr>
          <w:p>
            <w:pPr>
              <w:pStyle w:val="3"/>
              <w:widowControl w:val="0"/>
              <w:jc w:val="both"/>
              <w:rPr>
                <w:rFonts w:hint="eastAsia" w:ascii="仿宋_GB2312"/>
                <w:sz w:val="28"/>
                <w:szCs w:val="28"/>
              </w:rPr>
            </w:pPr>
            <w:r>
              <w:rPr>
                <w:rFonts w:hint="eastAsia" w:ascii="仿宋_GB2312"/>
                <w:sz w:val="28"/>
                <w:szCs w:val="28"/>
              </w:rPr>
              <w:t>图纸CAD绘图制作</w:t>
            </w:r>
          </w:p>
        </w:tc>
        <w:tc>
          <w:tcPr>
            <w:tcW w:w="1704" w:type="dxa"/>
          </w:tcPr>
          <w:p>
            <w:pPr>
              <w:pStyle w:val="3"/>
              <w:widowControl w:val="0"/>
              <w:jc w:val="center"/>
              <w:rPr>
                <w:rFonts w:hint="eastAsia" w:ascii="仿宋_GB2312"/>
                <w:sz w:val="28"/>
                <w:szCs w:val="28"/>
              </w:rPr>
            </w:pPr>
            <w:r>
              <w:rPr>
                <w:rFonts w:hint="eastAsia" w:ascii="仿宋_GB2312"/>
                <w:sz w:val="28"/>
                <w:szCs w:val="28"/>
              </w:rPr>
              <w:t>50幢</w:t>
            </w:r>
          </w:p>
        </w:tc>
        <w:tc>
          <w:tcPr>
            <w:tcW w:w="1705" w:type="dxa"/>
          </w:tcPr>
          <w:p>
            <w:pPr>
              <w:pStyle w:val="3"/>
              <w:widowControl w:val="0"/>
              <w:jc w:val="both"/>
              <w:rPr>
                <w:rFonts w:hint="eastAsia" w:ascii="仿宋_GB2312"/>
                <w:sz w:val="28"/>
                <w:szCs w:val="28"/>
              </w:rPr>
            </w:pPr>
          </w:p>
        </w:tc>
        <w:tc>
          <w:tcPr>
            <w:tcW w:w="2144" w:type="dxa"/>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867" w:type="dxa"/>
          </w:tcPr>
          <w:p>
            <w:pPr>
              <w:pStyle w:val="3"/>
              <w:widowControl w:val="0"/>
              <w:jc w:val="both"/>
              <w:rPr>
                <w:rFonts w:hint="eastAsia" w:ascii="仿宋_GB2312"/>
                <w:sz w:val="28"/>
                <w:szCs w:val="28"/>
              </w:rPr>
            </w:pPr>
            <w:r>
              <w:rPr>
                <w:rFonts w:hint="eastAsia" w:ascii="仿宋_GB2312"/>
                <w:sz w:val="28"/>
                <w:szCs w:val="28"/>
              </w:rPr>
              <w:t>3</w:t>
            </w:r>
          </w:p>
        </w:tc>
        <w:tc>
          <w:tcPr>
            <w:tcW w:w="2541" w:type="dxa"/>
          </w:tcPr>
          <w:p>
            <w:pPr>
              <w:pStyle w:val="3"/>
              <w:widowControl w:val="0"/>
              <w:jc w:val="both"/>
              <w:rPr>
                <w:rFonts w:hint="eastAsia" w:ascii="仿宋_GB2312"/>
                <w:sz w:val="28"/>
                <w:szCs w:val="28"/>
              </w:rPr>
            </w:pPr>
            <w:r>
              <w:rPr>
                <w:rFonts w:hint="eastAsia" w:ascii="仿宋_GB2312"/>
                <w:sz w:val="28"/>
                <w:szCs w:val="28"/>
              </w:rPr>
              <w:t>现场报警点位</w:t>
            </w:r>
          </w:p>
        </w:tc>
        <w:tc>
          <w:tcPr>
            <w:tcW w:w="1704" w:type="dxa"/>
          </w:tcPr>
          <w:p>
            <w:pPr>
              <w:pStyle w:val="3"/>
              <w:widowControl w:val="0"/>
              <w:jc w:val="center"/>
              <w:rPr>
                <w:rFonts w:hint="eastAsia" w:ascii="仿宋_GB2312"/>
                <w:sz w:val="28"/>
                <w:szCs w:val="28"/>
              </w:rPr>
            </w:pPr>
            <w:r>
              <w:rPr>
                <w:rFonts w:hint="eastAsia" w:ascii="仿宋_GB2312"/>
                <w:sz w:val="28"/>
                <w:szCs w:val="28"/>
              </w:rPr>
              <w:t>2000只</w:t>
            </w:r>
          </w:p>
        </w:tc>
        <w:tc>
          <w:tcPr>
            <w:tcW w:w="1705" w:type="dxa"/>
          </w:tcPr>
          <w:p>
            <w:pPr>
              <w:pStyle w:val="3"/>
              <w:widowControl w:val="0"/>
              <w:jc w:val="both"/>
              <w:rPr>
                <w:rFonts w:hint="eastAsia" w:ascii="仿宋_GB2312"/>
                <w:sz w:val="28"/>
                <w:szCs w:val="28"/>
              </w:rPr>
            </w:pPr>
          </w:p>
        </w:tc>
        <w:tc>
          <w:tcPr>
            <w:tcW w:w="2144" w:type="dxa"/>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867" w:type="dxa"/>
          </w:tcPr>
          <w:p>
            <w:pPr>
              <w:pStyle w:val="3"/>
              <w:widowControl w:val="0"/>
              <w:jc w:val="both"/>
              <w:rPr>
                <w:rFonts w:hint="eastAsia" w:ascii="仿宋_GB2312"/>
                <w:sz w:val="28"/>
                <w:szCs w:val="28"/>
              </w:rPr>
            </w:pPr>
            <w:r>
              <w:rPr>
                <w:rFonts w:hint="eastAsia" w:ascii="仿宋_GB2312"/>
                <w:sz w:val="28"/>
                <w:szCs w:val="28"/>
              </w:rPr>
              <w:t>4</w:t>
            </w:r>
          </w:p>
        </w:tc>
        <w:tc>
          <w:tcPr>
            <w:tcW w:w="2541" w:type="dxa"/>
          </w:tcPr>
          <w:p>
            <w:pPr>
              <w:pStyle w:val="3"/>
              <w:widowControl w:val="0"/>
              <w:jc w:val="both"/>
              <w:rPr>
                <w:rFonts w:hint="eastAsia" w:ascii="仿宋_GB2312"/>
                <w:sz w:val="28"/>
                <w:szCs w:val="28"/>
              </w:rPr>
            </w:pPr>
            <w:r>
              <w:rPr>
                <w:rFonts w:hint="eastAsia" w:ascii="仿宋_GB2312"/>
                <w:sz w:val="28"/>
                <w:szCs w:val="28"/>
              </w:rPr>
              <w:t>端子箱</w:t>
            </w:r>
          </w:p>
        </w:tc>
        <w:tc>
          <w:tcPr>
            <w:tcW w:w="1704" w:type="dxa"/>
          </w:tcPr>
          <w:p>
            <w:pPr>
              <w:pStyle w:val="3"/>
              <w:widowControl w:val="0"/>
              <w:jc w:val="center"/>
              <w:rPr>
                <w:rFonts w:hint="eastAsia" w:ascii="仿宋_GB2312"/>
                <w:sz w:val="28"/>
                <w:szCs w:val="28"/>
              </w:rPr>
            </w:pPr>
            <w:r>
              <w:rPr>
                <w:rFonts w:hint="eastAsia" w:ascii="仿宋_GB2312"/>
                <w:sz w:val="28"/>
                <w:szCs w:val="28"/>
              </w:rPr>
              <w:t>1</w:t>
            </w:r>
          </w:p>
        </w:tc>
        <w:tc>
          <w:tcPr>
            <w:tcW w:w="1705" w:type="dxa"/>
          </w:tcPr>
          <w:p>
            <w:pPr>
              <w:pStyle w:val="3"/>
              <w:widowControl w:val="0"/>
              <w:jc w:val="both"/>
              <w:rPr>
                <w:rFonts w:hint="eastAsia" w:ascii="仿宋_GB2312"/>
                <w:sz w:val="28"/>
                <w:szCs w:val="28"/>
              </w:rPr>
            </w:pPr>
          </w:p>
        </w:tc>
        <w:tc>
          <w:tcPr>
            <w:tcW w:w="2144" w:type="dxa"/>
            <w:vMerge w:val="restart"/>
          </w:tcPr>
          <w:p>
            <w:pPr>
              <w:pStyle w:val="3"/>
              <w:widowControl w:val="0"/>
              <w:jc w:val="both"/>
              <w:rPr>
                <w:rFonts w:hint="eastAsia" w:ascii="仿宋_GB2312"/>
                <w:sz w:val="28"/>
                <w:szCs w:val="28"/>
              </w:rPr>
            </w:pPr>
            <w:r>
              <w:rPr>
                <w:rFonts w:hint="eastAsia" w:ascii="仿宋_GB2312"/>
                <w:sz w:val="28"/>
                <w:szCs w:val="28"/>
              </w:rPr>
              <w:t>第4-13项是水亭街33-39号店铺消防改造施工内容。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867" w:type="dxa"/>
          </w:tcPr>
          <w:p>
            <w:pPr>
              <w:pStyle w:val="3"/>
              <w:widowControl w:val="0"/>
              <w:jc w:val="both"/>
              <w:rPr>
                <w:rFonts w:hint="eastAsia" w:ascii="仿宋_GB2312"/>
                <w:sz w:val="28"/>
                <w:szCs w:val="28"/>
              </w:rPr>
            </w:pPr>
            <w:r>
              <w:rPr>
                <w:rFonts w:hint="eastAsia" w:ascii="仿宋_GB2312"/>
                <w:sz w:val="28"/>
                <w:szCs w:val="28"/>
              </w:rPr>
              <w:t>5</w:t>
            </w:r>
          </w:p>
        </w:tc>
        <w:tc>
          <w:tcPr>
            <w:tcW w:w="2541" w:type="dxa"/>
          </w:tcPr>
          <w:p>
            <w:pPr>
              <w:pStyle w:val="3"/>
              <w:widowControl w:val="0"/>
              <w:jc w:val="both"/>
              <w:rPr>
                <w:rFonts w:hint="eastAsia" w:ascii="仿宋_GB2312"/>
                <w:sz w:val="28"/>
                <w:szCs w:val="28"/>
              </w:rPr>
            </w:pPr>
            <w:r>
              <w:rPr>
                <w:rFonts w:hint="eastAsia" w:ascii="仿宋_GB2312"/>
                <w:sz w:val="28"/>
                <w:szCs w:val="28"/>
              </w:rPr>
              <w:t>模块箱</w:t>
            </w:r>
          </w:p>
        </w:tc>
        <w:tc>
          <w:tcPr>
            <w:tcW w:w="1704" w:type="dxa"/>
          </w:tcPr>
          <w:p>
            <w:pPr>
              <w:pStyle w:val="3"/>
              <w:widowControl w:val="0"/>
              <w:jc w:val="center"/>
              <w:rPr>
                <w:rFonts w:hint="eastAsia" w:ascii="仿宋_GB2312"/>
                <w:sz w:val="28"/>
                <w:szCs w:val="28"/>
              </w:rPr>
            </w:pPr>
            <w:r>
              <w:rPr>
                <w:rFonts w:hint="eastAsia" w:ascii="仿宋_GB2312"/>
                <w:sz w:val="28"/>
                <w:szCs w:val="28"/>
              </w:rPr>
              <w:t>2</w:t>
            </w:r>
          </w:p>
        </w:tc>
        <w:tc>
          <w:tcPr>
            <w:tcW w:w="1705" w:type="dxa"/>
          </w:tcPr>
          <w:p>
            <w:pPr>
              <w:pStyle w:val="3"/>
              <w:widowControl w:val="0"/>
              <w:jc w:val="both"/>
              <w:rPr>
                <w:rFonts w:hint="eastAsia" w:ascii="仿宋_GB2312"/>
                <w:sz w:val="28"/>
                <w:szCs w:val="28"/>
              </w:rPr>
            </w:pPr>
          </w:p>
        </w:tc>
        <w:tc>
          <w:tcPr>
            <w:tcW w:w="2144" w:type="dxa"/>
            <w:vMerge w:val="continue"/>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7" w:type="dxa"/>
          </w:tcPr>
          <w:p>
            <w:pPr>
              <w:pStyle w:val="3"/>
              <w:widowControl w:val="0"/>
              <w:jc w:val="both"/>
              <w:rPr>
                <w:rFonts w:hint="eastAsia" w:ascii="仿宋_GB2312"/>
                <w:sz w:val="28"/>
                <w:szCs w:val="28"/>
              </w:rPr>
            </w:pPr>
            <w:r>
              <w:rPr>
                <w:rFonts w:hint="eastAsia" w:ascii="仿宋_GB2312"/>
                <w:sz w:val="28"/>
                <w:szCs w:val="28"/>
              </w:rPr>
              <w:t>6</w:t>
            </w:r>
          </w:p>
        </w:tc>
        <w:tc>
          <w:tcPr>
            <w:tcW w:w="2541" w:type="dxa"/>
          </w:tcPr>
          <w:p>
            <w:pPr>
              <w:pStyle w:val="3"/>
              <w:widowControl w:val="0"/>
              <w:jc w:val="both"/>
              <w:rPr>
                <w:rFonts w:hint="eastAsia" w:ascii="仿宋_GB2312"/>
                <w:sz w:val="28"/>
                <w:szCs w:val="28"/>
              </w:rPr>
            </w:pPr>
            <w:r>
              <w:rPr>
                <w:rFonts w:hint="eastAsia" w:ascii="仿宋_GB2312"/>
                <w:sz w:val="28"/>
                <w:szCs w:val="28"/>
              </w:rPr>
              <w:t>模块</w:t>
            </w:r>
          </w:p>
        </w:tc>
        <w:tc>
          <w:tcPr>
            <w:tcW w:w="1704" w:type="dxa"/>
          </w:tcPr>
          <w:p>
            <w:pPr>
              <w:pStyle w:val="3"/>
              <w:widowControl w:val="0"/>
              <w:jc w:val="center"/>
              <w:rPr>
                <w:rFonts w:hint="eastAsia" w:ascii="仿宋_GB2312"/>
                <w:sz w:val="28"/>
                <w:szCs w:val="28"/>
              </w:rPr>
            </w:pPr>
            <w:r>
              <w:rPr>
                <w:rFonts w:hint="eastAsia" w:ascii="仿宋_GB2312"/>
                <w:sz w:val="28"/>
                <w:szCs w:val="28"/>
              </w:rPr>
              <w:t>10</w:t>
            </w:r>
          </w:p>
        </w:tc>
        <w:tc>
          <w:tcPr>
            <w:tcW w:w="1705" w:type="dxa"/>
          </w:tcPr>
          <w:p>
            <w:pPr>
              <w:pStyle w:val="3"/>
              <w:widowControl w:val="0"/>
              <w:jc w:val="both"/>
              <w:rPr>
                <w:rFonts w:hint="eastAsia" w:ascii="仿宋_GB2312"/>
                <w:sz w:val="28"/>
                <w:szCs w:val="28"/>
              </w:rPr>
            </w:pPr>
          </w:p>
        </w:tc>
        <w:tc>
          <w:tcPr>
            <w:tcW w:w="2144" w:type="dxa"/>
            <w:vMerge w:val="continue"/>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7" w:type="dxa"/>
          </w:tcPr>
          <w:p>
            <w:pPr>
              <w:pStyle w:val="3"/>
              <w:widowControl w:val="0"/>
              <w:jc w:val="both"/>
              <w:rPr>
                <w:rFonts w:hint="eastAsia" w:ascii="仿宋_GB2312"/>
                <w:sz w:val="28"/>
                <w:szCs w:val="28"/>
              </w:rPr>
            </w:pPr>
            <w:r>
              <w:rPr>
                <w:rFonts w:hint="eastAsia" w:ascii="仿宋_GB2312"/>
                <w:sz w:val="28"/>
                <w:szCs w:val="28"/>
              </w:rPr>
              <w:t>7</w:t>
            </w:r>
          </w:p>
        </w:tc>
        <w:tc>
          <w:tcPr>
            <w:tcW w:w="2541" w:type="dxa"/>
          </w:tcPr>
          <w:p>
            <w:pPr>
              <w:pStyle w:val="3"/>
              <w:widowControl w:val="0"/>
              <w:jc w:val="both"/>
              <w:rPr>
                <w:rFonts w:hint="eastAsia" w:ascii="仿宋_GB2312"/>
                <w:sz w:val="28"/>
                <w:szCs w:val="28"/>
              </w:rPr>
            </w:pPr>
            <w:r>
              <w:rPr>
                <w:rFonts w:hint="eastAsia" w:ascii="仿宋_GB2312"/>
                <w:sz w:val="28"/>
                <w:szCs w:val="28"/>
              </w:rPr>
              <w:t>感烟探测器</w:t>
            </w:r>
          </w:p>
        </w:tc>
        <w:tc>
          <w:tcPr>
            <w:tcW w:w="1704" w:type="dxa"/>
          </w:tcPr>
          <w:p>
            <w:pPr>
              <w:pStyle w:val="3"/>
              <w:widowControl w:val="0"/>
              <w:jc w:val="center"/>
              <w:rPr>
                <w:rFonts w:hint="eastAsia" w:ascii="仿宋_GB2312"/>
                <w:sz w:val="28"/>
                <w:szCs w:val="28"/>
              </w:rPr>
            </w:pPr>
            <w:r>
              <w:rPr>
                <w:rFonts w:hint="eastAsia" w:ascii="仿宋_GB2312"/>
                <w:sz w:val="28"/>
                <w:szCs w:val="28"/>
              </w:rPr>
              <w:t>30</w:t>
            </w:r>
          </w:p>
        </w:tc>
        <w:tc>
          <w:tcPr>
            <w:tcW w:w="1705" w:type="dxa"/>
          </w:tcPr>
          <w:p>
            <w:pPr>
              <w:pStyle w:val="3"/>
              <w:widowControl w:val="0"/>
              <w:jc w:val="both"/>
              <w:rPr>
                <w:rFonts w:hint="eastAsia" w:ascii="仿宋_GB2312"/>
                <w:sz w:val="28"/>
                <w:szCs w:val="28"/>
              </w:rPr>
            </w:pPr>
          </w:p>
        </w:tc>
        <w:tc>
          <w:tcPr>
            <w:tcW w:w="2144" w:type="dxa"/>
            <w:vMerge w:val="continue"/>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7" w:type="dxa"/>
          </w:tcPr>
          <w:p>
            <w:pPr>
              <w:pStyle w:val="3"/>
              <w:widowControl w:val="0"/>
              <w:jc w:val="both"/>
              <w:rPr>
                <w:rFonts w:hint="eastAsia" w:ascii="仿宋_GB2312"/>
                <w:sz w:val="28"/>
                <w:szCs w:val="28"/>
              </w:rPr>
            </w:pPr>
            <w:r>
              <w:rPr>
                <w:rFonts w:hint="eastAsia" w:ascii="仿宋_GB2312"/>
                <w:sz w:val="28"/>
                <w:szCs w:val="28"/>
              </w:rPr>
              <w:t>8</w:t>
            </w:r>
          </w:p>
        </w:tc>
        <w:tc>
          <w:tcPr>
            <w:tcW w:w="2541" w:type="dxa"/>
          </w:tcPr>
          <w:p>
            <w:pPr>
              <w:pStyle w:val="3"/>
              <w:widowControl w:val="0"/>
              <w:jc w:val="both"/>
              <w:rPr>
                <w:rFonts w:hint="eastAsia" w:ascii="仿宋_GB2312"/>
                <w:sz w:val="28"/>
                <w:szCs w:val="28"/>
              </w:rPr>
            </w:pPr>
            <w:r>
              <w:rPr>
                <w:rFonts w:hint="eastAsia" w:ascii="仿宋_GB2312"/>
                <w:sz w:val="28"/>
                <w:szCs w:val="28"/>
              </w:rPr>
              <w:t>感温探测器</w:t>
            </w:r>
          </w:p>
        </w:tc>
        <w:tc>
          <w:tcPr>
            <w:tcW w:w="1704" w:type="dxa"/>
          </w:tcPr>
          <w:p>
            <w:pPr>
              <w:pStyle w:val="3"/>
              <w:widowControl w:val="0"/>
              <w:jc w:val="center"/>
              <w:rPr>
                <w:rFonts w:hint="eastAsia" w:ascii="仿宋_GB2312"/>
                <w:sz w:val="28"/>
                <w:szCs w:val="28"/>
              </w:rPr>
            </w:pPr>
            <w:r>
              <w:rPr>
                <w:rFonts w:hint="eastAsia" w:ascii="仿宋_GB2312"/>
                <w:sz w:val="28"/>
                <w:szCs w:val="28"/>
              </w:rPr>
              <w:t>5</w:t>
            </w:r>
          </w:p>
        </w:tc>
        <w:tc>
          <w:tcPr>
            <w:tcW w:w="1705" w:type="dxa"/>
          </w:tcPr>
          <w:p>
            <w:pPr>
              <w:pStyle w:val="3"/>
              <w:widowControl w:val="0"/>
              <w:jc w:val="both"/>
              <w:rPr>
                <w:rFonts w:hint="eastAsia" w:ascii="仿宋_GB2312"/>
                <w:sz w:val="28"/>
                <w:szCs w:val="28"/>
              </w:rPr>
            </w:pPr>
          </w:p>
        </w:tc>
        <w:tc>
          <w:tcPr>
            <w:tcW w:w="2144" w:type="dxa"/>
            <w:vMerge w:val="continue"/>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7" w:type="dxa"/>
          </w:tcPr>
          <w:p>
            <w:pPr>
              <w:pStyle w:val="3"/>
              <w:widowControl w:val="0"/>
              <w:jc w:val="both"/>
              <w:rPr>
                <w:rFonts w:hint="eastAsia" w:ascii="仿宋_GB2312"/>
                <w:sz w:val="28"/>
                <w:szCs w:val="28"/>
              </w:rPr>
            </w:pPr>
            <w:r>
              <w:rPr>
                <w:rFonts w:hint="eastAsia" w:ascii="仿宋_GB2312"/>
                <w:sz w:val="28"/>
                <w:szCs w:val="28"/>
              </w:rPr>
              <w:t>9</w:t>
            </w:r>
          </w:p>
        </w:tc>
        <w:tc>
          <w:tcPr>
            <w:tcW w:w="2541" w:type="dxa"/>
          </w:tcPr>
          <w:p>
            <w:pPr>
              <w:pStyle w:val="3"/>
              <w:widowControl w:val="0"/>
              <w:jc w:val="both"/>
              <w:rPr>
                <w:rFonts w:hint="eastAsia" w:ascii="仿宋_GB2312"/>
                <w:sz w:val="28"/>
                <w:szCs w:val="28"/>
              </w:rPr>
            </w:pPr>
            <w:r>
              <w:rPr>
                <w:rFonts w:hint="eastAsia" w:ascii="仿宋_GB2312"/>
                <w:sz w:val="28"/>
                <w:szCs w:val="28"/>
              </w:rPr>
              <w:t>声光报警器</w:t>
            </w:r>
          </w:p>
        </w:tc>
        <w:tc>
          <w:tcPr>
            <w:tcW w:w="1704" w:type="dxa"/>
          </w:tcPr>
          <w:p>
            <w:pPr>
              <w:pStyle w:val="3"/>
              <w:widowControl w:val="0"/>
              <w:jc w:val="center"/>
              <w:rPr>
                <w:rFonts w:hint="eastAsia" w:ascii="仿宋_GB2312"/>
                <w:sz w:val="28"/>
                <w:szCs w:val="28"/>
              </w:rPr>
            </w:pPr>
            <w:r>
              <w:rPr>
                <w:rFonts w:hint="eastAsia" w:ascii="仿宋_GB2312"/>
                <w:sz w:val="28"/>
                <w:szCs w:val="28"/>
              </w:rPr>
              <w:t>5</w:t>
            </w:r>
          </w:p>
        </w:tc>
        <w:tc>
          <w:tcPr>
            <w:tcW w:w="1705" w:type="dxa"/>
          </w:tcPr>
          <w:p>
            <w:pPr>
              <w:pStyle w:val="3"/>
              <w:widowControl w:val="0"/>
              <w:jc w:val="both"/>
              <w:rPr>
                <w:rFonts w:hint="eastAsia" w:ascii="仿宋_GB2312"/>
                <w:sz w:val="28"/>
                <w:szCs w:val="28"/>
              </w:rPr>
            </w:pPr>
          </w:p>
        </w:tc>
        <w:tc>
          <w:tcPr>
            <w:tcW w:w="2144" w:type="dxa"/>
            <w:vMerge w:val="continue"/>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7" w:type="dxa"/>
          </w:tcPr>
          <w:p>
            <w:pPr>
              <w:pStyle w:val="3"/>
              <w:widowControl w:val="0"/>
              <w:jc w:val="both"/>
              <w:rPr>
                <w:rFonts w:hint="eastAsia" w:ascii="仿宋_GB2312"/>
                <w:sz w:val="28"/>
                <w:szCs w:val="28"/>
              </w:rPr>
            </w:pPr>
            <w:r>
              <w:rPr>
                <w:rFonts w:hint="eastAsia" w:ascii="仿宋_GB2312"/>
                <w:sz w:val="28"/>
                <w:szCs w:val="28"/>
              </w:rPr>
              <w:t>10</w:t>
            </w:r>
          </w:p>
        </w:tc>
        <w:tc>
          <w:tcPr>
            <w:tcW w:w="2541" w:type="dxa"/>
          </w:tcPr>
          <w:p>
            <w:pPr>
              <w:pStyle w:val="3"/>
              <w:widowControl w:val="0"/>
              <w:jc w:val="both"/>
              <w:rPr>
                <w:rFonts w:hint="eastAsia" w:ascii="仿宋_GB2312"/>
                <w:sz w:val="28"/>
                <w:szCs w:val="28"/>
              </w:rPr>
            </w:pPr>
            <w:r>
              <w:rPr>
                <w:rFonts w:hint="eastAsia" w:ascii="仿宋_GB2312"/>
                <w:sz w:val="28"/>
                <w:szCs w:val="28"/>
              </w:rPr>
              <w:t>消防广播</w:t>
            </w:r>
          </w:p>
        </w:tc>
        <w:tc>
          <w:tcPr>
            <w:tcW w:w="1704" w:type="dxa"/>
          </w:tcPr>
          <w:p>
            <w:pPr>
              <w:pStyle w:val="3"/>
              <w:widowControl w:val="0"/>
              <w:jc w:val="center"/>
              <w:rPr>
                <w:rFonts w:hint="eastAsia" w:ascii="仿宋_GB2312"/>
                <w:sz w:val="28"/>
                <w:szCs w:val="28"/>
              </w:rPr>
            </w:pPr>
            <w:r>
              <w:rPr>
                <w:rFonts w:hint="eastAsia" w:ascii="仿宋_GB2312"/>
                <w:sz w:val="28"/>
                <w:szCs w:val="28"/>
              </w:rPr>
              <w:t>5</w:t>
            </w:r>
          </w:p>
        </w:tc>
        <w:tc>
          <w:tcPr>
            <w:tcW w:w="1705" w:type="dxa"/>
          </w:tcPr>
          <w:p>
            <w:pPr>
              <w:pStyle w:val="3"/>
              <w:widowControl w:val="0"/>
              <w:jc w:val="both"/>
              <w:rPr>
                <w:rFonts w:hint="eastAsia" w:ascii="仿宋_GB2312"/>
                <w:sz w:val="28"/>
                <w:szCs w:val="28"/>
              </w:rPr>
            </w:pPr>
          </w:p>
        </w:tc>
        <w:tc>
          <w:tcPr>
            <w:tcW w:w="2144" w:type="dxa"/>
            <w:vMerge w:val="continue"/>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7" w:type="dxa"/>
          </w:tcPr>
          <w:p>
            <w:pPr>
              <w:pStyle w:val="3"/>
              <w:widowControl w:val="0"/>
              <w:jc w:val="both"/>
              <w:rPr>
                <w:rFonts w:hint="eastAsia" w:ascii="仿宋_GB2312"/>
                <w:sz w:val="28"/>
                <w:szCs w:val="28"/>
              </w:rPr>
            </w:pPr>
            <w:r>
              <w:rPr>
                <w:rFonts w:hint="eastAsia" w:ascii="仿宋_GB2312"/>
                <w:sz w:val="28"/>
                <w:szCs w:val="28"/>
              </w:rPr>
              <w:t>11</w:t>
            </w:r>
          </w:p>
        </w:tc>
        <w:tc>
          <w:tcPr>
            <w:tcW w:w="2541" w:type="dxa"/>
          </w:tcPr>
          <w:p>
            <w:pPr>
              <w:pStyle w:val="3"/>
              <w:widowControl w:val="0"/>
              <w:jc w:val="both"/>
              <w:rPr>
                <w:rFonts w:hint="eastAsia" w:ascii="仿宋_GB2312"/>
                <w:sz w:val="28"/>
                <w:szCs w:val="28"/>
              </w:rPr>
            </w:pPr>
            <w:r>
              <w:rPr>
                <w:rFonts w:hint="eastAsia" w:ascii="仿宋_GB2312"/>
                <w:sz w:val="28"/>
                <w:szCs w:val="28"/>
              </w:rPr>
              <w:t>喷淋</w:t>
            </w:r>
          </w:p>
        </w:tc>
        <w:tc>
          <w:tcPr>
            <w:tcW w:w="1704" w:type="dxa"/>
          </w:tcPr>
          <w:p>
            <w:pPr>
              <w:pStyle w:val="3"/>
              <w:widowControl w:val="0"/>
              <w:jc w:val="center"/>
              <w:rPr>
                <w:rFonts w:hint="eastAsia" w:ascii="仿宋_GB2312"/>
                <w:sz w:val="28"/>
                <w:szCs w:val="28"/>
              </w:rPr>
            </w:pPr>
            <w:r>
              <w:rPr>
                <w:rFonts w:hint="eastAsia" w:ascii="仿宋_GB2312"/>
                <w:sz w:val="28"/>
                <w:szCs w:val="28"/>
              </w:rPr>
              <w:t>30</w:t>
            </w:r>
          </w:p>
        </w:tc>
        <w:tc>
          <w:tcPr>
            <w:tcW w:w="1705" w:type="dxa"/>
          </w:tcPr>
          <w:p>
            <w:pPr>
              <w:pStyle w:val="3"/>
              <w:widowControl w:val="0"/>
              <w:jc w:val="both"/>
              <w:rPr>
                <w:rFonts w:hint="eastAsia" w:ascii="仿宋_GB2312"/>
                <w:sz w:val="28"/>
                <w:szCs w:val="28"/>
              </w:rPr>
            </w:pPr>
          </w:p>
        </w:tc>
        <w:tc>
          <w:tcPr>
            <w:tcW w:w="2144" w:type="dxa"/>
            <w:vMerge w:val="continue"/>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7" w:type="dxa"/>
          </w:tcPr>
          <w:p>
            <w:pPr>
              <w:pStyle w:val="3"/>
              <w:widowControl w:val="0"/>
              <w:jc w:val="both"/>
              <w:rPr>
                <w:rFonts w:hint="eastAsia" w:ascii="仿宋_GB2312"/>
                <w:sz w:val="28"/>
                <w:szCs w:val="28"/>
              </w:rPr>
            </w:pPr>
            <w:r>
              <w:rPr>
                <w:rFonts w:hint="eastAsia" w:ascii="仿宋_GB2312"/>
                <w:sz w:val="28"/>
                <w:szCs w:val="28"/>
              </w:rPr>
              <w:t>12</w:t>
            </w:r>
          </w:p>
        </w:tc>
        <w:tc>
          <w:tcPr>
            <w:tcW w:w="2541" w:type="dxa"/>
          </w:tcPr>
          <w:p>
            <w:pPr>
              <w:pStyle w:val="3"/>
              <w:widowControl w:val="0"/>
              <w:jc w:val="both"/>
              <w:rPr>
                <w:rFonts w:hint="eastAsia" w:ascii="仿宋_GB2312"/>
                <w:sz w:val="28"/>
                <w:szCs w:val="28"/>
              </w:rPr>
            </w:pPr>
            <w:r>
              <w:rPr>
                <w:rFonts w:hint="eastAsia" w:ascii="仿宋_GB2312"/>
                <w:sz w:val="28"/>
                <w:szCs w:val="28"/>
              </w:rPr>
              <w:t>手动报警按钮</w:t>
            </w:r>
          </w:p>
        </w:tc>
        <w:tc>
          <w:tcPr>
            <w:tcW w:w="1704" w:type="dxa"/>
          </w:tcPr>
          <w:p>
            <w:pPr>
              <w:pStyle w:val="3"/>
              <w:widowControl w:val="0"/>
              <w:jc w:val="center"/>
              <w:rPr>
                <w:rFonts w:hint="eastAsia" w:ascii="仿宋_GB2312"/>
                <w:sz w:val="28"/>
                <w:szCs w:val="28"/>
              </w:rPr>
            </w:pPr>
            <w:r>
              <w:rPr>
                <w:rFonts w:hint="eastAsia" w:ascii="仿宋_GB2312"/>
                <w:sz w:val="28"/>
                <w:szCs w:val="28"/>
              </w:rPr>
              <w:t>5</w:t>
            </w:r>
          </w:p>
        </w:tc>
        <w:tc>
          <w:tcPr>
            <w:tcW w:w="1705" w:type="dxa"/>
          </w:tcPr>
          <w:p>
            <w:pPr>
              <w:pStyle w:val="3"/>
              <w:widowControl w:val="0"/>
              <w:jc w:val="both"/>
              <w:rPr>
                <w:rFonts w:hint="eastAsia" w:ascii="仿宋_GB2312"/>
                <w:sz w:val="28"/>
                <w:szCs w:val="28"/>
              </w:rPr>
            </w:pPr>
          </w:p>
        </w:tc>
        <w:tc>
          <w:tcPr>
            <w:tcW w:w="2144" w:type="dxa"/>
            <w:vMerge w:val="continue"/>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7" w:type="dxa"/>
          </w:tcPr>
          <w:p>
            <w:pPr>
              <w:pStyle w:val="3"/>
              <w:widowControl w:val="0"/>
              <w:jc w:val="both"/>
              <w:rPr>
                <w:rFonts w:hint="eastAsia" w:ascii="仿宋_GB2312"/>
                <w:sz w:val="28"/>
                <w:szCs w:val="28"/>
              </w:rPr>
            </w:pPr>
            <w:r>
              <w:rPr>
                <w:rFonts w:hint="eastAsia" w:ascii="仿宋_GB2312"/>
                <w:sz w:val="28"/>
                <w:szCs w:val="28"/>
              </w:rPr>
              <w:t>13</w:t>
            </w:r>
          </w:p>
        </w:tc>
        <w:tc>
          <w:tcPr>
            <w:tcW w:w="2541" w:type="dxa"/>
          </w:tcPr>
          <w:p>
            <w:pPr>
              <w:pStyle w:val="3"/>
              <w:widowControl w:val="0"/>
              <w:jc w:val="both"/>
              <w:rPr>
                <w:rFonts w:hint="eastAsia" w:ascii="仿宋_GB2312"/>
                <w:sz w:val="28"/>
                <w:szCs w:val="28"/>
              </w:rPr>
            </w:pPr>
            <w:r>
              <w:rPr>
                <w:rFonts w:hint="eastAsia" w:ascii="仿宋_GB2312"/>
                <w:sz w:val="28"/>
                <w:szCs w:val="28"/>
              </w:rPr>
              <w:t>消火栓</w:t>
            </w:r>
          </w:p>
        </w:tc>
        <w:tc>
          <w:tcPr>
            <w:tcW w:w="1704" w:type="dxa"/>
          </w:tcPr>
          <w:p>
            <w:pPr>
              <w:pStyle w:val="3"/>
              <w:widowControl w:val="0"/>
              <w:jc w:val="center"/>
              <w:rPr>
                <w:rFonts w:hint="eastAsia" w:ascii="仿宋_GB2312"/>
                <w:sz w:val="28"/>
                <w:szCs w:val="28"/>
              </w:rPr>
            </w:pPr>
            <w:r>
              <w:rPr>
                <w:rFonts w:hint="eastAsia" w:ascii="仿宋_GB2312"/>
                <w:sz w:val="28"/>
                <w:szCs w:val="28"/>
              </w:rPr>
              <w:t>2</w:t>
            </w:r>
          </w:p>
        </w:tc>
        <w:tc>
          <w:tcPr>
            <w:tcW w:w="1705" w:type="dxa"/>
          </w:tcPr>
          <w:p>
            <w:pPr>
              <w:pStyle w:val="3"/>
              <w:widowControl w:val="0"/>
              <w:jc w:val="both"/>
              <w:rPr>
                <w:rFonts w:hint="eastAsia" w:ascii="仿宋_GB2312"/>
                <w:sz w:val="28"/>
                <w:szCs w:val="28"/>
              </w:rPr>
            </w:pPr>
          </w:p>
        </w:tc>
        <w:tc>
          <w:tcPr>
            <w:tcW w:w="2144" w:type="dxa"/>
            <w:vMerge w:val="continue"/>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112" w:type="dxa"/>
            <w:gridSpan w:val="3"/>
          </w:tcPr>
          <w:p>
            <w:pPr>
              <w:pStyle w:val="3"/>
              <w:widowControl w:val="0"/>
              <w:jc w:val="center"/>
              <w:rPr>
                <w:rFonts w:hint="eastAsia" w:ascii="仿宋_GB2312"/>
                <w:sz w:val="28"/>
                <w:szCs w:val="28"/>
              </w:rPr>
            </w:pPr>
            <w:r>
              <w:rPr>
                <w:rFonts w:hint="eastAsia" w:ascii="仿宋_GB2312"/>
                <w:sz w:val="28"/>
                <w:szCs w:val="28"/>
              </w:rPr>
              <w:t>合   计</w:t>
            </w:r>
          </w:p>
        </w:tc>
        <w:tc>
          <w:tcPr>
            <w:tcW w:w="1705" w:type="dxa"/>
          </w:tcPr>
          <w:p>
            <w:pPr>
              <w:pStyle w:val="3"/>
              <w:widowControl w:val="0"/>
              <w:jc w:val="both"/>
              <w:rPr>
                <w:rFonts w:hint="eastAsia" w:ascii="仿宋_GB2312"/>
                <w:sz w:val="28"/>
                <w:szCs w:val="28"/>
              </w:rPr>
            </w:pPr>
          </w:p>
        </w:tc>
        <w:tc>
          <w:tcPr>
            <w:tcW w:w="2144" w:type="dxa"/>
          </w:tcPr>
          <w:p>
            <w:pPr>
              <w:pStyle w:val="3"/>
              <w:widowControl w:val="0"/>
              <w:jc w:val="both"/>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7" w:type="dxa"/>
          </w:tcPr>
          <w:p>
            <w:pPr>
              <w:pStyle w:val="3"/>
              <w:widowControl w:val="0"/>
              <w:jc w:val="both"/>
              <w:rPr>
                <w:rFonts w:hint="eastAsia" w:ascii="仿宋_GB2312"/>
                <w:sz w:val="28"/>
                <w:szCs w:val="28"/>
              </w:rPr>
            </w:pPr>
            <w:r>
              <w:rPr>
                <w:rFonts w:hint="eastAsia" w:ascii="仿宋_GB2312"/>
                <w:sz w:val="28"/>
                <w:szCs w:val="28"/>
              </w:rPr>
              <w:t>说明</w:t>
            </w:r>
          </w:p>
        </w:tc>
        <w:tc>
          <w:tcPr>
            <w:tcW w:w="8094" w:type="dxa"/>
            <w:gridSpan w:val="4"/>
          </w:tcPr>
          <w:p>
            <w:pPr>
              <w:pStyle w:val="3"/>
              <w:widowControl w:val="0"/>
              <w:jc w:val="both"/>
              <w:rPr>
                <w:rFonts w:hint="eastAsia" w:ascii="仿宋_GB2312"/>
                <w:sz w:val="28"/>
                <w:szCs w:val="28"/>
              </w:rPr>
            </w:pPr>
            <w:r>
              <w:rPr>
                <w:rFonts w:hint="eastAsia" w:ascii="仿宋_GB2312"/>
                <w:sz w:val="28"/>
                <w:szCs w:val="28"/>
              </w:rPr>
              <w:t>以上工程项目包工包料，如涉及到室外开挖石板破除另计工程量。</w:t>
            </w:r>
          </w:p>
        </w:tc>
      </w:tr>
    </w:tbl>
    <w:p>
      <w:pPr>
        <w:pStyle w:val="3"/>
      </w:pPr>
    </w:p>
    <w:p>
      <w:pPr>
        <w:snapToGrid/>
        <w:spacing w:after="0"/>
        <w:rPr>
          <w:rFonts w:ascii="仿宋" w:hAnsi="仿宋" w:eastAsia="仿宋" w:cs="仿宋"/>
          <w:color w:val="000000"/>
          <w:sz w:val="24"/>
          <w:szCs w:val="24"/>
        </w:rPr>
      </w:pPr>
    </w:p>
    <w:p>
      <w:pPr>
        <w:pStyle w:val="3"/>
        <w:rPr>
          <w:rFonts w:ascii="宋体" w:hAnsi="宋体"/>
          <w:color w:val="000000"/>
        </w:rPr>
      </w:pPr>
    </w:p>
    <w:p>
      <w:pPr>
        <w:pStyle w:val="3"/>
        <w:rPr>
          <w:rFonts w:ascii="宋体" w:hAnsi="宋体"/>
          <w:color w:val="000000"/>
        </w:rPr>
      </w:pPr>
    </w:p>
    <w:p>
      <w:pPr>
        <w:pStyle w:val="3"/>
        <w:rPr>
          <w:rFonts w:ascii="宋体" w:hAnsi="宋体"/>
          <w:color w:val="000000"/>
        </w:rPr>
      </w:pPr>
    </w:p>
    <w:p>
      <w:pPr>
        <w:pStyle w:val="3"/>
        <w:rPr>
          <w:rFonts w:ascii="宋体" w:hAnsi="宋体"/>
          <w:color w:val="000000"/>
        </w:rPr>
      </w:pPr>
    </w:p>
    <w:p>
      <w:pPr>
        <w:pStyle w:val="3"/>
        <w:rPr>
          <w:rFonts w:ascii="宋体" w:hAnsi="宋体"/>
          <w:color w:val="000000"/>
        </w:rPr>
      </w:pPr>
    </w:p>
    <w:p>
      <w:pPr>
        <w:pStyle w:val="3"/>
        <w:rPr>
          <w:rFonts w:ascii="宋体" w:hAnsi="宋体"/>
          <w:color w:val="000000"/>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29</w:t>
    </w:r>
    <w:r>
      <w:rPr>
        <w:rFonts w:hint="eastAsia" w:ascii="仿宋_GB2312" w:eastAsia="仿宋_GB2312"/>
        <w:sz w:val="28"/>
        <w:szCs w:val="28"/>
      </w:rPr>
      <w:fldChar w:fldCharType="end"/>
    </w:r>
    <w:r>
      <w:rPr>
        <w:rFonts w:hint="eastAsia" w:ascii="仿宋_GB2312" w:eastAsia="仿宋_GB2312"/>
        <w:sz w:val="28"/>
        <w:szCs w:val="28"/>
      </w:rPr>
      <w:t>-</w:t>
    </w:r>
  </w:p>
  <w:p>
    <w:pPr>
      <w:pStyle w:val="11"/>
      <w:rPr>
        <w:rFonts w:ascii="仿宋_GB2312" w:eastAsia="仿宋_GB2312"/>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087E47"/>
    <w:rsid w:val="0014787A"/>
    <w:rsid w:val="0022526D"/>
    <w:rsid w:val="00234430"/>
    <w:rsid w:val="002442D8"/>
    <w:rsid w:val="0024492C"/>
    <w:rsid w:val="0027511C"/>
    <w:rsid w:val="002C0F87"/>
    <w:rsid w:val="002C50F4"/>
    <w:rsid w:val="002C78A9"/>
    <w:rsid w:val="002E5B4C"/>
    <w:rsid w:val="002F3CCB"/>
    <w:rsid w:val="00323B43"/>
    <w:rsid w:val="00366EDD"/>
    <w:rsid w:val="003B1EA5"/>
    <w:rsid w:val="003D37D8"/>
    <w:rsid w:val="003E616A"/>
    <w:rsid w:val="00407245"/>
    <w:rsid w:val="00426133"/>
    <w:rsid w:val="004358AB"/>
    <w:rsid w:val="004511B0"/>
    <w:rsid w:val="004A63EA"/>
    <w:rsid w:val="004C0182"/>
    <w:rsid w:val="004E69F7"/>
    <w:rsid w:val="00510851"/>
    <w:rsid w:val="00541867"/>
    <w:rsid w:val="00562D95"/>
    <w:rsid w:val="005B7AE7"/>
    <w:rsid w:val="005F30FF"/>
    <w:rsid w:val="00653138"/>
    <w:rsid w:val="006A3BFD"/>
    <w:rsid w:val="006D1AA0"/>
    <w:rsid w:val="006D7336"/>
    <w:rsid w:val="006E61B2"/>
    <w:rsid w:val="00704BDB"/>
    <w:rsid w:val="007059E6"/>
    <w:rsid w:val="007129AE"/>
    <w:rsid w:val="00713903"/>
    <w:rsid w:val="0073378B"/>
    <w:rsid w:val="0074613A"/>
    <w:rsid w:val="007942E3"/>
    <w:rsid w:val="0080250E"/>
    <w:rsid w:val="00817E05"/>
    <w:rsid w:val="008257D3"/>
    <w:rsid w:val="00851BBE"/>
    <w:rsid w:val="008641AE"/>
    <w:rsid w:val="008677A5"/>
    <w:rsid w:val="008A24C7"/>
    <w:rsid w:val="008B7726"/>
    <w:rsid w:val="008E4E60"/>
    <w:rsid w:val="00924329"/>
    <w:rsid w:val="009245D2"/>
    <w:rsid w:val="00957E9A"/>
    <w:rsid w:val="009A5DCA"/>
    <w:rsid w:val="00AC1C6B"/>
    <w:rsid w:val="00AC5817"/>
    <w:rsid w:val="00B25480"/>
    <w:rsid w:val="00B25D37"/>
    <w:rsid w:val="00BA1194"/>
    <w:rsid w:val="00BB3508"/>
    <w:rsid w:val="00BC26F2"/>
    <w:rsid w:val="00BE23FB"/>
    <w:rsid w:val="00BF286D"/>
    <w:rsid w:val="00C074A5"/>
    <w:rsid w:val="00C81604"/>
    <w:rsid w:val="00C94DE0"/>
    <w:rsid w:val="00CA743A"/>
    <w:rsid w:val="00CF76A7"/>
    <w:rsid w:val="00D02F4F"/>
    <w:rsid w:val="00D31002"/>
    <w:rsid w:val="00D31D50"/>
    <w:rsid w:val="00D35047"/>
    <w:rsid w:val="00D6300B"/>
    <w:rsid w:val="00D73EE6"/>
    <w:rsid w:val="00DA4A7F"/>
    <w:rsid w:val="00DB7A2C"/>
    <w:rsid w:val="00E0112E"/>
    <w:rsid w:val="00E43A4B"/>
    <w:rsid w:val="00E63BBD"/>
    <w:rsid w:val="00E71BE7"/>
    <w:rsid w:val="00E93C2E"/>
    <w:rsid w:val="00EC7BF5"/>
    <w:rsid w:val="00F215E5"/>
    <w:rsid w:val="00F64754"/>
    <w:rsid w:val="00FD626B"/>
    <w:rsid w:val="00FF5ECA"/>
    <w:rsid w:val="012623E8"/>
    <w:rsid w:val="01F85056"/>
    <w:rsid w:val="03DC4242"/>
    <w:rsid w:val="05F02213"/>
    <w:rsid w:val="098E1605"/>
    <w:rsid w:val="09D9307D"/>
    <w:rsid w:val="0CF469D5"/>
    <w:rsid w:val="10073CC6"/>
    <w:rsid w:val="117972B2"/>
    <w:rsid w:val="12CC2089"/>
    <w:rsid w:val="15CB343B"/>
    <w:rsid w:val="15EC1DFF"/>
    <w:rsid w:val="1D226877"/>
    <w:rsid w:val="220144A9"/>
    <w:rsid w:val="26380A0A"/>
    <w:rsid w:val="271B3480"/>
    <w:rsid w:val="2CB51B4E"/>
    <w:rsid w:val="3A1A7C2A"/>
    <w:rsid w:val="4D4669D9"/>
    <w:rsid w:val="4DAE4748"/>
    <w:rsid w:val="5A1E6177"/>
    <w:rsid w:val="5AA77FD5"/>
    <w:rsid w:val="5C405B15"/>
    <w:rsid w:val="5D5B1A4B"/>
    <w:rsid w:val="77DE2A5C"/>
    <w:rsid w:val="79CF16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4">
    <w:name w:val="heading 1"/>
    <w:basedOn w:val="1"/>
    <w:next w:val="1"/>
    <w:qFormat/>
    <w:uiPriority w:val="0"/>
    <w:pPr>
      <w:keepNext/>
      <w:keepLines/>
      <w:pageBreakBefore/>
      <w:spacing w:before="340" w:after="330" w:line="578" w:lineRule="auto"/>
      <w:jc w:val="center"/>
      <w:outlineLvl w:val="0"/>
    </w:pPr>
    <w:rPr>
      <w:rFonts w:ascii="Calibri" w:hAnsi="Calibri" w:eastAsia="仿宋_GB2312"/>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rFonts w:ascii="Calibri" w:hAnsi="Calibri" w:eastAsia="仿宋_GB2312"/>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表格文字"/>
    <w:basedOn w:val="1"/>
    <w:next w:val="3"/>
    <w:qFormat/>
    <w:uiPriority w:val="0"/>
    <w:pPr>
      <w:spacing w:line="420" w:lineRule="atLeast"/>
      <w:textAlignment w:val="baseline"/>
    </w:pPr>
    <w:rPr>
      <w:szCs w:val="24"/>
    </w:rPr>
  </w:style>
  <w:style w:type="paragraph" w:styleId="3">
    <w:name w:val="Body Text"/>
    <w:basedOn w:val="1"/>
    <w:uiPriority w:val="0"/>
    <w:pPr>
      <w:spacing w:after="120"/>
    </w:pPr>
    <w:rPr>
      <w:rFonts w:ascii="Calibri" w:hAnsi="Calibri" w:eastAsia="仿宋_GB2312"/>
      <w:sz w:val="24"/>
      <w:szCs w:val="21"/>
    </w:rPr>
  </w:style>
  <w:style w:type="paragraph" w:styleId="7">
    <w:name w:val="Body Text Indent"/>
    <w:basedOn w:val="1"/>
    <w:qFormat/>
    <w:uiPriority w:val="0"/>
    <w:pPr>
      <w:spacing w:after="120"/>
      <w:ind w:left="420" w:leftChars="200"/>
    </w:pPr>
  </w:style>
  <w:style w:type="paragraph" w:styleId="8">
    <w:name w:val="Plain Text"/>
    <w:basedOn w:val="1"/>
    <w:qFormat/>
    <w:uiPriority w:val="0"/>
    <w:pPr>
      <w:overflowPunct w:val="0"/>
      <w:autoSpaceDE w:val="0"/>
      <w:autoSpaceDN w:val="0"/>
      <w:textAlignment w:val="baseline"/>
    </w:pPr>
    <w:rPr>
      <w:rFonts w:ascii="宋体" w:hAnsi="Courier New"/>
    </w:rPr>
  </w:style>
  <w:style w:type="paragraph" w:styleId="9">
    <w:name w:val="Date"/>
    <w:basedOn w:val="1"/>
    <w:next w:val="1"/>
    <w:link w:val="21"/>
    <w:semiHidden/>
    <w:unhideWhenUsed/>
    <w:qFormat/>
    <w:uiPriority w:val="99"/>
    <w:pPr>
      <w:ind w:left="100" w:leftChars="2500"/>
    </w:pPr>
  </w:style>
  <w:style w:type="paragraph" w:styleId="10">
    <w:name w:val="Balloon Text"/>
    <w:basedOn w:val="1"/>
    <w:link w:val="17"/>
    <w:semiHidden/>
    <w:unhideWhenUsed/>
    <w:qFormat/>
    <w:uiPriority w:val="99"/>
    <w:pPr>
      <w:spacing w:after="0"/>
    </w:pPr>
    <w:rPr>
      <w:sz w:val="18"/>
      <w:szCs w:val="18"/>
    </w:rPr>
  </w:style>
  <w:style w:type="paragraph" w:styleId="11">
    <w:name w:val="footer"/>
    <w:basedOn w:val="1"/>
    <w:link w:val="19"/>
    <w:unhideWhenUsed/>
    <w:qFormat/>
    <w:uiPriority w:val="99"/>
    <w:pPr>
      <w:tabs>
        <w:tab w:val="center" w:pos="4153"/>
        <w:tab w:val="right" w:pos="8306"/>
      </w:tabs>
    </w:pPr>
    <w:rPr>
      <w:sz w:val="18"/>
      <w:szCs w:val="18"/>
    </w:rPr>
  </w:style>
  <w:style w:type="paragraph" w:styleId="12">
    <w:name w:val="header"/>
    <w:basedOn w:val="1"/>
    <w:link w:val="18"/>
    <w:semiHidden/>
    <w:unhideWhenUsed/>
    <w:qFormat/>
    <w:uiPriority w:val="99"/>
    <w:pPr>
      <w:pBdr>
        <w:bottom w:val="single" w:color="auto" w:sz="6" w:space="1"/>
      </w:pBdr>
      <w:tabs>
        <w:tab w:val="center" w:pos="4153"/>
        <w:tab w:val="right" w:pos="8306"/>
      </w:tabs>
      <w:jc w:val="center"/>
    </w:pPr>
    <w:rPr>
      <w:sz w:val="18"/>
      <w:szCs w:val="18"/>
    </w:r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Hyperlink"/>
    <w:qFormat/>
    <w:uiPriority w:val="0"/>
    <w:rPr>
      <w:color w:val="0063C8"/>
      <w:u w:val="none"/>
    </w:rPr>
  </w:style>
  <w:style w:type="character" w:customStyle="1" w:styleId="17">
    <w:name w:val="批注框文本 Char"/>
    <w:basedOn w:val="15"/>
    <w:link w:val="10"/>
    <w:semiHidden/>
    <w:qFormat/>
    <w:uiPriority w:val="99"/>
    <w:rPr>
      <w:rFonts w:ascii="Tahoma" w:hAnsi="Tahoma"/>
      <w:sz w:val="18"/>
      <w:szCs w:val="18"/>
    </w:rPr>
  </w:style>
  <w:style w:type="character" w:customStyle="1" w:styleId="18">
    <w:name w:val="页眉 Char"/>
    <w:basedOn w:val="15"/>
    <w:link w:val="12"/>
    <w:semiHidden/>
    <w:qFormat/>
    <w:uiPriority w:val="99"/>
    <w:rPr>
      <w:rFonts w:ascii="Tahoma" w:hAnsi="Tahoma"/>
      <w:sz w:val="18"/>
      <w:szCs w:val="18"/>
    </w:rPr>
  </w:style>
  <w:style w:type="character" w:customStyle="1" w:styleId="19">
    <w:name w:val="页脚 Char"/>
    <w:basedOn w:val="15"/>
    <w:link w:val="11"/>
    <w:qFormat/>
    <w:uiPriority w:val="99"/>
    <w:rPr>
      <w:rFonts w:ascii="Tahoma" w:hAnsi="Tahoma"/>
      <w:sz w:val="18"/>
      <w:szCs w:val="18"/>
    </w:rPr>
  </w:style>
  <w:style w:type="paragraph" w:customStyle="1" w:styleId="20">
    <w:name w:val="正文 A"/>
    <w:qFormat/>
    <w:uiPriority w:val="0"/>
    <w:pPr>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character" w:customStyle="1" w:styleId="21">
    <w:name w:val="日期 Char"/>
    <w:basedOn w:val="15"/>
    <w:link w:val="9"/>
    <w:semiHidden/>
    <w:qFormat/>
    <w:uiPriority w:val="99"/>
    <w:rPr>
      <w:rFonts w:ascii="Tahoma" w:hAnsi="Tahoma"/>
    </w:rPr>
  </w:style>
  <w:style w:type="paragraph" w:styleId="2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30</Pages>
  <Words>1939</Words>
  <Characters>11056</Characters>
  <Lines>92</Lines>
  <Paragraphs>25</Paragraphs>
  <TotalTime>55</TotalTime>
  <ScaleCrop>false</ScaleCrop>
  <LinksUpToDate>false</LinksUpToDate>
  <CharactersWithSpaces>12970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2019-03-01T05:46:00Z</cp:lastPrinted>
  <dcterms:modified xsi:type="dcterms:W3CDTF">2019-07-09T09:14:56Z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