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4D972D">
      <w:pP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附件：</w:t>
      </w:r>
    </w:p>
    <w:p w14:paraId="249B695D">
      <w:pPr>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城市大脑智慧健康系统（应用侧）年度项目服务需求</w:t>
      </w:r>
    </w:p>
    <w:tbl>
      <w:tblPr>
        <w:tblStyle w:val="5"/>
        <w:tblW w:w="8617" w:type="dxa"/>
        <w:jc w:val="center"/>
        <w:tblLayout w:type="fixed"/>
        <w:tblCellMar>
          <w:top w:w="0" w:type="dxa"/>
          <w:left w:w="108" w:type="dxa"/>
          <w:bottom w:w="0" w:type="dxa"/>
          <w:right w:w="108" w:type="dxa"/>
        </w:tblCellMar>
      </w:tblPr>
      <w:tblGrid>
        <w:gridCol w:w="1200"/>
        <w:gridCol w:w="6146"/>
        <w:gridCol w:w="604"/>
        <w:gridCol w:w="667"/>
      </w:tblGrid>
      <w:tr w14:paraId="1A890D73">
        <w:tblPrEx>
          <w:tblCellMar>
            <w:top w:w="0" w:type="dxa"/>
            <w:left w:w="108" w:type="dxa"/>
            <w:bottom w:w="0" w:type="dxa"/>
            <w:right w:w="108" w:type="dxa"/>
          </w:tblCellMar>
        </w:tblPrEx>
        <w:trPr>
          <w:trHeight w:val="90" w:hRule="atLeast"/>
          <w:jc w:val="center"/>
        </w:trPr>
        <w:tc>
          <w:tcPr>
            <w:tcW w:w="120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E7CFE3A">
            <w:pPr>
              <w:pageBreakBefore w:val="0"/>
              <w:widowControl/>
              <w:kinsoku/>
              <w:overflowPunct/>
              <w:topLinePunct w:val="0"/>
              <w:autoSpaceDE/>
              <w:autoSpaceDN/>
              <w:bidi w:val="0"/>
              <w:snapToGrid w:val="0"/>
              <w:spacing w:line="360" w:lineRule="auto"/>
              <w:ind w:left="0"/>
              <w:jc w:val="center"/>
              <w:textAlignment w:val="center"/>
              <w:rPr>
                <w:rFonts w:hint="eastAsia" w:ascii="仿宋" w:hAnsi="仿宋" w:eastAsia="仿宋" w:cs="仿宋"/>
                <w:b/>
                <w:bCs/>
                <w:color w:val="000000"/>
                <w:sz w:val="21"/>
                <w:szCs w:val="21"/>
              </w:rPr>
            </w:pPr>
            <w:r>
              <w:rPr>
                <w:rFonts w:hint="eastAsia" w:ascii="仿宋" w:hAnsi="仿宋" w:eastAsia="仿宋" w:cs="仿宋"/>
                <w:b/>
                <w:bCs/>
                <w:color w:val="000000"/>
                <w:spacing w:val="4"/>
                <w:kern w:val="0"/>
                <w:sz w:val="21"/>
                <w:szCs w:val="21"/>
                <w:lang w:bidi="ar"/>
              </w:rPr>
              <w:t>服务名称</w:t>
            </w:r>
          </w:p>
        </w:tc>
        <w:tc>
          <w:tcPr>
            <w:tcW w:w="614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F89EA99">
            <w:pPr>
              <w:pageBreakBefore w:val="0"/>
              <w:widowControl/>
              <w:kinsoku/>
              <w:overflowPunct/>
              <w:topLinePunct w:val="0"/>
              <w:autoSpaceDE/>
              <w:autoSpaceDN/>
              <w:bidi w:val="0"/>
              <w:snapToGrid w:val="0"/>
              <w:spacing w:line="360" w:lineRule="auto"/>
              <w:ind w:left="0"/>
              <w:jc w:val="center"/>
              <w:textAlignment w:val="center"/>
              <w:rPr>
                <w:rFonts w:hint="eastAsia" w:ascii="仿宋" w:hAnsi="仿宋" w:eastAsia="仿宋" w:cs="仿宋"/>
                <w:b/>
                <w:bCs/>
                <w:color w:val="000000"/>
                <w:sz w:val="21"/>
                <w:szCs w:val="21"/>
              </w:rPr>
            </w:pPr>
            <w:r>
              <w:rPr>
                <w:rFonts w:hint="eastAsia" w:ascii="仿宋" w:hAnsi="仿宋" w:eastAsia="仿宋" w:cs="仿宋"/>
                <w:b/>
                <w:bCs/>
                <w:color w:val="000000"/>
                <w:spacing w:val="4"/>
                <w:kern w:val="0"/>
                <w:sz w:val="21"/>
                <w:szCs w:val="21"/>
                <w:lang w:bidi="ar"/>
              </w:rPr>
              <w:t>服务内容</w:t>
            </w:r>
          </w:p>
        </w:tc>
        <w:tc>
          <w:tcPr>
            <w:tcW w:w="60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D4D4362">
            <w:pPr>
              <w:pageBreakBefore w:val="0"/>
              <w:widowControl/>
              <w:kinsoku/>
              <w:overflowPunct/>
              <w:topLinePunct w:val="0"/>
              <w:autoSpaceDE/>
              <w:autoSpaceDN/>
              <w:bidi w:val="0"/>
              <w:snapToGrid w:val="0"/>
              <w:spacing w:line="360" w:lineRule="auto"/>
              <w:ind w:left="0"/>
              <w:jc w:val="center"/>
              <w:textAlignment w:val="center"/>
              <w:rPr>
                <w:rFonts w:hint="eastAsia" w:ascii="仿宋" w:hAnsi="仿宋" w:eastAsia="仿宋" w:cs="仿宋"/>
                <w:b/>
                <w:bCs/>
                <w:color w:val="000000"/>
                <w:sz w:val="21"/>
                <w:szCs w:val="21"/>
              </w:rPr>
            </w:pPr>
            <w:r>
              <w:rPr>
                <w:rFonts w:hint="eastAsia" w:ascii="仿宋" w:hAnsi="仿宋" w:eastAsia="仿宋" w:cs="仿宋"/>
                <w:b/>
                <w:bCs/>
                <w:color w:val="000000"/>
                <w:spacing w:val="4"/>
                <w:kern w:val="0"/>
                <w:sz w:val="21"/>
                <w:szCs w:val="21"/>
                <w:lang w:bidi="ar"/>
              </w:rPr>
              <w:t>数量</w:t>
            </w:r>
          </w:p>
        </w:tc>
        <w:tc>
          <w:tcPr>
            <w:tcW w:w="66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69E5CB0">
            <w:pPr>
              <w:pageBreakBefore w:val="0"/>
              <w:widowControl/>
              <w:kinsoku/>
              <w:overflowPunct/>
              <w:topLinePunct w:val="0"/>
              <w:autoSpaceDE/>
              <w:autoSpaceDN/>
              <w:bidi w:val="0"/>
              <w:snapToGrid w:val="0"/>
              <w:spacing w:line="360" w:lineRule="auto"/>
              <w:ind w:left="0"/>
              <w:jc w:val="center"/>
              <w:textAlignment w:val="center"/>
              <w:rPr>
                <w:rFonts w:hint="eastAsia" w:ascii="仿宋" w:hAnsi="仿宋" w:eastAsia="仿宋" w:cs="仿宋"/>
                <w:b/>
                <w:bCs/>
                <w:color w:val="000000"/>
                <w:sz w:val="21"/>
                <w:szCs w:val="21"/>
              </w:rPr>
            </w:pPr>
            <w:r>
              <w:rPr>
                <w:rFonts w:hint="eastAsia" w:ascii="仿宋" w:hAnsi="仿宋" w:eastAsia="仿宋" w:cs="仿宋"/>
                <w:b/>
                <w:bCs/>
                <w:color w:val="000000"/>
                <w:spacing w:val="4"/>
                <w:kern w:val="0"/>
                <w:sz w:val="21"/>
                <w:szCs w:val="21"/>
                <w:lang w:bidi="ar"/>
              </w:rPr>
              <w:t>单位</w:t>
            </w:r>
          </w:p>
        </w:tc>
      </w:tr>
      <w:tr w14:paraId="5979D4A1">
        <w:tblPrEx>
          <w:tblCellMar>
            <w:top w:w="0" w:type="dxa"/>
            <w:left w:w="108" w:type="dxa"/>
            <w:bottom w:w="0" w:type="dxa"/>
            <w:right w:w="108" w:type="dxa"/>
          </w:tblCellMar>
        </w:tblPrEx>
        <w:trPr>
          <w:trHeight w:val="10239" w:hRule="atLeast"/>
          <w:jc w:val="center"/>
        </w:trPr>
        <w:tc>
          <w:tcPr>
            <w:tcW w:w="1200" w:type="dxa"/>
            <w:tcBorders>
              <w:top w:val="single" w:color="000000" w:sz="4" w:space="0"/>
              <w:left w:val="single" w:color="000000" w:sz="4" w:space="0"/>
              <w:bottom w:val="single" w:color="000000" w:sz="4" w:space="0"/>
              <w:right w:val="single" w:color="000000" w:sz="4" w:space="0"/>
            </w:tcBorders>
            <w:noWrap w:val="0"/>
            <w:vAlign w:val="center"/>
          </w:tcPr>
          <w:p w14:paraId="718845A3">
            <w:pPr>
              <w:pageBreakBefore w:val="0"/>
              <w:widowControl/>
              <w:kinsoku/>
              <w:overflowPunct/>
              <w:topLinePunct w:val="0"/>
              <w:autoSpaceDE/>
              <w:autoSpaceDN/>
              <w:bidi w:val="0"/>
              <w:snapToGrid w:val="0"/>
              <w:spacing w:line="360" w:lineRule="auto"/>
              <w:ind w:left="0"/>
              <w:jc w:val="center"/>
              <w:textAlignment w:val="center"/>
              <w:rPr>
                <w:rFonts w:hint="eastAsia" w:ascii="仿宋" w:hAnsi="仿宋" w:eastAsia="仿宋" w:cs="仿宋"/>
                <w:color w:val="000000"/>
                <w:sz w:val="21"/>
                <w:szCs w:val="21"/>
              </w:rPr>
            </w:pPr>
            <w:r>
              <w:rPr>
                <w:rFonts w:hint="default" w:ascii="仿宋" w:hAnsi="仿宋" w:eastAsia="仿宋" w:cs="仿宋"/>
                <w:color w:val="000000"/>
                <w:spacing w:val="4"/>
                <w:kern w:val="0"/>
                <w:sz w:val="21"/>
                <w:szCs w:val="21"/>
                <w:lang w:val="en-US" w:eastAsia="zh-CN" w:bidi="ar"/>
              </w:rPr>
              <w:t>城市大脑智慧健康系统（应用侧）年度</w:t>
            </w:r>
            <w:r>
              <w:rPr>
                <w:rFonts w:hint="eastAsia" w:ascii="仿宋" w:hAnsi="仿宋" w:eastAsia="仿宋" w:cs="仿宋"/>
                <w:color w:val="000000"/>
                <w:spacing w:val="4"/>
                <w:kern w:val="0"/>
                <w:sz w:val="21"/>
                <w:szCs w:val="21"/>
                <w:lang w:val="en-US" w:eastAsia="zh-CN" w:bidi="ar"/>
              </w:rPr>
              <w:t>运维</w:t>
            </w:r>
            <w:r>
              <w:rPr>
                <w:rFonts w:hint="default" w:ascii="仿宋" w:hAnsi="仿宋" w:eastAsia="仿宋" w:cs="仿宋"/>
                <w:color w:val="000000"/>
                <w:spacing w:val="4"/>
                <w:kern w:val="0"/>
                <w:sz w:val="21"/>
                <w:szCs w:val="21"/>
                <w:lang w:val="en-US" w:eastAsia="zh-CN" w:bidi="ar"/>
              </w:rPr>
              <w:t>项目健</w:t>
            </w:r>
          </w:p>
        </w:tc>
        <w:tc>
          <w:tcPr>
            <w:tcW w:w="6146" w:type="dxa"/>
            <w:tcBorders>
              <w:top w:val="single" w:color="000000" w:sz="4" w:space="0"/>
              <w:left w:val="single" w:color="000000" w:sz="4" w:space="0"/>
              <w:bottom w:val="single" w:color="000000" w:sz="4" w:space="0"/>
              <w:right w:val="single" w:color="000000" w:sz="4" w:space="0"/>
            </w:tcBorders>
            <w:noWrap w:val="0"/>
            <w:vAlign w:val="center"/>
          </w:tcPr>
          <w:p w14:paraId="3EE0F01B">
            <w:pPr>
              <w:pageBreakBefore w:val="0"/>
              <w:widowControl/>
              <w:kinsoku/>
              <w:overflowPunct/>
              <w:topLinePunct w:val="0"/>
              <w:autoSpaceDE/>
              <w:autoSpaceDN/>
              <w:bidi w:val="0"/>
              <w:snapToGrid w:val="0"/>
              <w:spacing w:line="360" w:lineRule="auto"/>
              <w:ind w:left="0"/>
              <w:jc w:val="left"/>
              <w:textAlignment w:val="center"/>
              <w:rPr>
                <w:rFonts w:hint="eastAsia" w:ascii="仿宋" w:hAnsi="仿宋" w:eastAsia="仿宋" w:cs="仿宋"/>
                <w:color w:val="000000"/>
                <w:spacing w:val="4"/>
                <w:kern w:val="0"/>
                <w:sz w:val="21"/>
                <w:szCs w:val="21"/>
                <w:lang w:val="en-US" w:eastAsia="zh-CN" w:bidi="ar"/>
              </w:rPr>
            </w:pPr>
            <w:r>
              <w:rPr>
                <w:rFonts w:hint="eastAsia" w:ascii="仿宋" w:hAnsi="仿宋" w:eastAsia="仿宋" w:cs="仿宋"/>
                <w:color w:val="000000"/>
                <w:spacing w:val="4"/>
                <w:kern w:val="0"/>
                <w:sz w:val="21"/>
                <w:szCs w:val="21"/>
                <w:lang w:val="en-US" w:eastAsia="zh-CN" w:bidi="ar"/>
              </w:rPr>
              <w:t>1.数据归集</w:t>
            </w:r>
          </w:p>
          <w:p w14:paraId="10961772">
            <w:pPr>
              <w:pageBreakBefore w:val="0"/>
              <w:widowControl/>
              <w:kinsoku/>
              <w:overflowPunct/>
              <w:topLinePunct w:val="0"/>
              <w:autoSpaceDE/>
              <w:autoSpaceDN/>
              <w:bidi w:val="0"/>
              <w:snapToGrid w:val="0"/>
              <w:spacing w:line="360" w:lineRule="auto"/>
              <w:ind w:left="0"/>
              <w:jc w:val="left"/>
              <w:textAlignment w:val="center"/>
              <w:rPr>
                <w:rFonts w:hint="eastAsia" w:ascii="仿宋" w:hAnsi="仿宋" w:eastAsia="仿宋" w:cs="仿宋"/>
                <w:color w:val="000000"/>
                <w:spacing w:val="4"/>
                <w:kern w:val="0"/>
                <w:sz w:val="21"/>
                <w:szCs w:val="21"/>
                <w:lang w:val="en-US" w:eastAsia="zh-CN" w:bidi="ar"/>
              </w:rPr>
            </w:pPr>
            <w:r>
              <w:rPr>
                <w:rFonts w:hint="eastAsia" w:ascii="仿宋" w:hAnsi="仿宋" w:eastAsia="仿宋" w:cs="仿宋"/>
                <w:color w:val="000000"/>
                <w:spacing w:val="4"/>
                <w:kern w:val="0"/>
                <w:sz w:val="21"/>
                <w:szCs w:val="21"/>
                <w:lang w:val="en-US" w:eastAsia="zh-CN" w:bidi="ar"/>
              </w:rPr>
              <w:t>建设衢州市卫健委标准统一、全面的衢州市卫健委医疗数据中心，对医疗机构自建系统以及外部系统等业务数据的解析、清洗、重构及整合，以患者、医生、病案为基础全面整合所有医疗机构的信息资源，全面实现衢州市卫健委内部与各医疗机构的不同部门汇总数据的纵向资源整合，外部实现与其他政府部门的横向资源整合，打破条块分割，消除信息孤岛，形成具有统一数据标准规范的医疗综合信息库（“一个中心”）。</w:t>
            </w:r>
          </w:p>
          <w:p w14:paraId="2AA5DB2D">
            <w:pPr>
              <w:pageBreakBefore w:val="0"/>
              <w:widowControl/>
              <w:kinsoku/>
              <w:overflowPunct/>
              <w:topLinePunct w:val="0"/>
              <w:autoSpaceDE/>
              <w:autoSpaceDN/>
              <w:bidi w:val="0"/>
              <w:snapToGrid w:val="0"/>
              <w:spacing w:line="360" w:lineRule="auto"/>
              <w:ind w:left="0"/>
              <w:jc w:val="left"/>
              <w:textAlignment w:val="center"/>
              <w:rPr>
                <w:rFonts w:hint="eastAsia" w:ascii="仿宋" w:hAnsi="仿宋" w:eastAsia="仿宋" w:cs="仿宋"/>
                <w:color w:val="000000"/>
                <w:spacing w:val="4"/>
                <w:kern w:val="0"/>
                <w:sz w:val="21"/>
                <w:szCs w:val="21"/>
                <w:lang w:val="en-US" w:eastAsia="zh-CN" w:bidi="ar"/>
              </w:rPr>
            </w:pPr>
            <w:r>
              <w:rPr>
                <w:rFonts w:hint="eastAsia" w:ascii="仿宋" w:hAnsi="仿宋" w:eastAsia="仿宋" w:cs="仿宋"/>
                <w:color w:val="000000"/>
                <w:spacing w:val="4"/>
                <w:kern w:val="0"/>
                <w:sz w:val="21"/>
                <w:szCs w:val="21"/>
                <w:lang w:val="en-US" w:eastAsia="zh-CN" w:bidi="ar"/>
              </w:rPr>
              <w:t>2.数据处理</w:t>
            </w:r>
          </w:p>
          <w:p w14:paraId="71292B96">
            <w:pPr>
              <w:pageBreakBefore w:val="0"/>
              <w:widowControl/>
              <w:kinsoku/>
              <w:overflowPunct/>
              <w:topLinePunct w:val="0"/>
              <w:autoSpaceDE/>
              <w:autoSpaceDN/>
              <w:bidi w:val="0"/>
              <w:snapToGrid w:val="0"/>
              <w:spacing w:line="360" w:lineRule="auto"/>
              <w:ind w:left="0"/>
              <w:jc w:val="left"/>
              <w:textAlignment w:val="center"/>
              <w:rPr>
                <w:rFonts w:hint="eastAsia" w:ascii="仿宋" w:hAnsi="仿宋" w:eastAsia="仿宋" w:cs="仿宋"/>
                <w:color w:val="000000"/>
                <w:spacing w:val="4"/>
                <w:kern w:val="0"/>
                <w:sz w:val="21"/>
                <w:szCs w:val="21"/>
                <w:lang w:val="en-US" w:eastAsia="zh-CN" w:bidi="ar"/>
              </w:rPr>
            </w:pPr>
            <w:r>
              <w:rPr>
                <w:rFonts w:hint="eastAsia" w:ascii="仿宋" w:hAnsi="仿宋" w:eastAsia="仿宋" w:cs="仿宋"/>
                <w:color w:val="000000"/>
                <w:spacing w:val="4"/>
                <w:kern w:val="0"/>
                <w:sz w:val="21"/>
                <w:szCs w:val="21"/>
                <w:lang w:val="en-US" w:eastAsia="zh-CN" w:bidi="ar"/>
              </w:rPr>
              <w:t>在原有数据编码标准基础上，通过建立统一的指标体系，统一的代码标准规范口径，统一的对外交换标准数据标准为信息化建设、业务协同和统一管控提供统一业务定义和技术规格，有效保障数据质量。</w:t>
            </w:r>
          </w:p>
          <w:p w14:paraId="5037F680">
            <w:pPr>
              <w:pageBreakBefore w:val="0"/>
              <w:widowControl/>
              <w:kinsoku/>
              <w:overflowPunct/>
              <w:topLinePunct w:val="0"/>
              <w:autoSpaceDE/>
              <w:autoSpaceDN/>
              <w:bidi w:val="0"/>
              <w:snapToGrid w:val="0"/>
              <w:spacing w:line="360" w:lineRule="auto"/>
              <w:ind w:left="0"/>
              <w:jc w:val="left"/>
              <w:textAlignment w:val="center"/>
              <w:rPr>
                <w:rFonts w:hint="eastAsia" w:ascii="仿宋" w:hAnsi="仿宋" w:eastAsia="仿宋" w:cs="仿宋"/>
                <w:color w:val="000000"/>
                <w:spacing w:val="4"/>
                <w:kern w:val="0"/>
                <w:sz w:val="21"/>
                <w:szCs w:val="21"/>
                <w:lang w:val="en-US" w:eastAsia="zh-CN" w:bidi="ar"/>
              </w:rPr>
            </w:pPr>
            <w:r>
              <w:rPr>
                <w:rFonts w:hint="eastAsia" w:ascii="仿宋" w:hAnsi="仿宋" w:eastAsia="仿宋" w:cs="仿宋"/>
                <w:color w:val="000000"/>
                <w:spacing w:val="4"/>
                <w:kern w:val="0"/>
                <w:sz w:val="21"/>
                <w:szCs w:val="21"/>
                <w:lang w:val="en-US" w:eastAsia="zh-CN" w:bidi="ar"/>
              </w:rPr>
              <w:t>3.数据监控</w:t>
            </w:r>
          </w:p>
          <w:p w14:paraId="0FC80017">
            <w:pPr>
              <w:pageBreakBefore w:val="0"/>
              <w:widowControl/>
              <w:kinsoku/>
              <w:overflowPunct/>
              <w:topLinePunct w:val="0"/>
              <w:autoSpaceDE/>
              <w:autoSpaceDN/>
              <w:bidi w:val="0"/>
              <w:snapToGrid w:val="0"/>
              <w:spacing w:line="360" w:lineRule="auto"/>
              <w:ind w:left="0"/>
              <w:jc w:val="left"/>
              <w:textAlignment w:val="center"/>
              <w:rPr>
                <w:rFonts w:hint="eastAsia" w:ascii="仿宋" w:hAnsi="仿宋" w:eastAsia="仿宋" w:cs="仿宋"/>
                <w:color w:val="000000"/>
                <w:spacing w:val="4"/>
                <w:kern w:val="0"/>
                <w:sz w:val="21"/>
                <w:szCs w:val="21"/>
                <w:lang w:val="en-US" w:eastAsia="zh-CN" w:bidi="ar"/>
              </w:rPr>
            </w:pPr>
            <w:r>
              <w:rPr>
                <w:rFonts w:hint="eastAsia" w:ascii="仿宋" w:hAnsi="仿宋" w:eastAsia="仿宋" w:cs="仿宋"/>
                <w:color w:val="000000"/>
                <w:spacing w:val="4"/>
                <w:kern w:val="0"/>
                <w:sz w:val="21"/>
                <w:szCs w:val="21"/>
                <w:lang w:val="en-US" w:eastAsia="zh-CN" w:bidi="ar"/>
              </w:rPr>
              <w:t>对衢州市、县两级医院（含县域医共体分院）的数据进行全域业务、全流程作业的数据监控，实现完善的平台性能与作业执行情况的统计与监控。平台性能包括CPU、内存、磁盘的实时资源使用情况以及历史的趋势统计，作业统计与监控包括目前正在执行的作业情况（作业名称、资源文件、启动时间、创建人、错误数、处理速度）以及历史作业的统计与分析。同时支持远程管理和监控ETL过程，可以看到实时的系统状态以及转换执行过程。</w:t>
            </w:r>
          </w:p>
          <w:p w14:paraId="7CDA5BCB">
            <w:pPr>
              <w:pageBreakBefore w:val="0"/>
              <w:widowControl/>
              <w:kinsoku/>
              <w:overflowPunct/>
              <w:topLinePunct w:val="0"/>
              <w:autoSpaceDE/>
              <w:autoSpaceDN/>
              <w:bidi w:val="0"/>
              <w:snapToGrid w:val="0"/>
              <w:spacing w:line="360" w:lineRule="auto"/>
              <w:ind w:left="0"/>
              <w:jc w:val="left"/>
              <w:textAlignment w:val="center"/>
              <w:rPr>
                <w:rFonts w:hint="default" w:ascii="仿宋" w:hAnsi="仿宋" w:eastAsia="仿宋" w:cs="仿宋"/>
                <w:color w:val="000000"/>
                <w:spacing w:val="4"/>
                <w:kern w:val="0"/>
                <w:sz w:val="21"/>
                <w:szCs w:val="21"/>
                <w:lang w:val="en-US" w:eastAsia="zh-CN" w:bidi="ar"/>
              </w:rPr>
            </w:pPr>
            <w:r>
              <w:rPr>
                <w:rFonts w:hint="eastAsia" w:ascii="仿宋" w:hAnsi="仿宋" w:eastAsia="仿宋" w:cs="仿宋"/>
                <w:color w:val="000000"/>
                <w:spacing w:val="4"/>
                <w:kern w:val="0"/>
                <w:sz w:val="21"/>
                <w:szCs w:val="21"/>
                <w:lang w:val="en-US" w:eastAsia="zh-CN" w:bidi="ar"/>
              </w:rPr>
              <w:t>4.数据分析</w:t>
            </w:r>
          </w:p>
          <w:p w14:paraId="4D7B9D9D">
            <w:pPr>
              <w:pageBreakBefore w:val="0"/>
              <w:widowControl/>
              <w:kinsoku/>
              <w:overflowPunct/>
              <w:topLinePunct w:val="0"/>
              <w:autoSpaceDE/>
              <w:autoSpaceDN/>
              <w:bidi w:val="0"/>
              <w:snapToGrid w:val="0"/>
              <w:spacing w:line="360" w:lineRule="auto"/>
              <w:ind w:left="0"/>
              <w:jc w:val="left"/>
              <w:textAlignment w:val="center"/>
              <w:rPr>
                <w:rFonts w:hint="eastAsia" w:ascii="仿宋" w:hAnsi="仿宋" w:eastAsia="仿宋" w:cs="仿宋"/>
                <w:color w:val="000000"/>
                <w:spacing w:val="4"/>
                <w:kern w:val="0"/>
                <w:sz w:val="21"/>
                <w:szCs w:val="21"/>
                <w:lang w:val="en-US" w:eastAsia="zh-CN" w:bidi="ar"/>
              </w:rPr>
            </w:pPr>
            <w:r>
              <w:rPr>
                <w:rFonts w:hint="eastAsia" w:ascii="仿宋" w:hAnsi="仿宋" w:eastAsia="仿宋" w:cs="仿宋"/>
                <w:color w:val="000000"/>
                <w:spacing w:val="4"/>
                <w:kern w:val="0"/>
                <w:sz w:val="21"/>
                <w:szCs w:val="21"/>
                <w:lang w:val="en-US" w:eastAsia="zh-CN" w:bidi="ar"/>
              </w:rPr>
              <w:t>围绕衢州钉钉未来医院项目搜集到的医疗健康数据，根据已有数据和各大医院汇聚上来的数据指标进行分析展示，满足以下系统功能和性能要求。</w:t>
            </w:r>
          </w:p>
          <w:p w14:paraId="23E7C137">
            <w:pPr>
              <w:pageBreakBefore w:val="0"/>
              <w:widowControl/>
              <w:kinsoku/>
              <w:overflowPunct/>
              <w:topLinePunct w:val="0"/>
              <w:autoSpaceDE/>
              <w:autoSpaceDN/>
              <w:bidi w:val="0"/>
              <w:snapToGrid w:val="0"/>
              <w:spacing w:line="360" w:lineRule="auto"/>
              <w:ind w:left="0"/>
              <w:jc w:val="left"/>
              <w:textAlignment w:val="center"/>
              <w:rPr>
                <w:rFonts w:hint="eastAsia" w:ascii="仿宋" w:hAnsi="仿宋" w:eastAsia="仿宋" w:cs="仿宋"/>
                <w:color w:val="000000"/>
                <w:spacing w:val="4"/>
                <w:kern w:val="0"/>
                <w:sz w:val="21"/>
                <w:szCs w:val="21"/>
                <w:lang w:val="en-US" w:eastAsia="zh-CN" w:bidi="ar"/>
              </w:rPr>
            </w:pPr>
            <w:r>
              <w:rPr>
                <w:rFonts w:hint="eastAsia" w:ascii="仿宋" w:hAnsi="仿宋" w:eastAsia="仿宋" w:cs="仿宋"/>
                <w:color w:val="000000"/>
                <w:spacing w:val="4"/>
                <w:kern w:val="0"/>
                <w:sz w:val="21"/>
                <w:szCs w:val="21"/>
                <w:lang w:val="en-US" w:eastAsia="zh-CN" w:bidi="ar"/>
              </w:rPr>
              <w:t>5.数据应用</w:t>
            </w:r>
          </w:p>
          <w:p w14:paraId="628EE625">
            <w:pPr>
              <w:pageBreakBefore w:val="0"/>
              <w:widowControl/>
              <w:kinsoku/>
              <w:overflowPunct/>
              <w:topLinePunct w:val="0"/>
              <w:autoSpaceDE/>
              <w:autoSpaceDN/>
              <w:bidi w:val="0"/>
              <w:snapToGrid w:val="0"/>
              <w:spacing w:line="360" w:lineRule="auto"/>
              <w:ind w:left="0"/>
              <w:jc w:val="left"/>
              <w:textAlignment w:val="center"/>
              <w:rPr>
                <w:rFonts w:hint="default" w:ascii="仿宋" w:hAnsi="仿宋" w:eastAsia="仿宋" w:cs="仿宋"/>
                <w:color w:val="000000"/>
                <w:spacing w:val="4"/>
                <w:kern w:val="0"/>
                <w:sz w:val="21"/>
                <w:szCs w:val="21"/>
                <w:lang w:val="en-US" w:eastAsia="zh-CN" w:bidi="ar"/>
              </w:rPr>
            </w:pPr>
            <w:r>
              <w:rPr>
                <w:rFonts w:hint="eastAsia" w:ascii="仿宋" w:hAnsi="仿宋" w:eastAsia="仿宋" w:cs="仿宋"/>
                <w:color w:val="000000"/>
                <w:spacing w:val="4"/>
                <w:kern w:val="0"/>
                <w:sz w:val="21"/>
                <w:szCs w:val="21"/>
                <w:lang w:val="en-US" w:eastAsia="zh-CN" w:bidi="ar"/>
              </w:rPr>
              <w:t>基于城市大脑全民健康数据池对医疗数据进行整体利用和分析，深度挖掘医疗数据价值，赋能各级各类医疗机构。</w:t>
            </w:r>
          </w:p>
        </w:tc>
        <w:tc>
          <w:tcPr>
            <w:tcW w:w="604" w:type="dxa"/>
            <w:tcBorders>
              <w:top w:val="single" w:color="000000" w:sz="4" w:space="0"/>
              <w:left w:val="single" w:color="000000" w:sz="4" w:space="0"/>
              <w:bottom w:val="single" w:color="000000" w:sz="4" w:space="0"/>
              <w:right w:val="single" w:color="000000" w:sz="4" w:space="0"/>
            </w:tcBorders>
            <w:noWrap/>
            <w:vAlign w:val="center"/>
          </w:tcPr>
          <w:p w14:paraId="6F94C57B">
            <w:pPr>
              <w:pageBreakBefore w:val="0"/>
              <w:widowControl/>
              <w:kinsoku/>
              <w:overflowPunct/>
              <w:topLinePunct w:val="0"/>
              <w:autoSpaceDE/>
              <w:autoSpaceDN/>
              <w:bidi w:val="0"/>
              <w:snapToGrid w:val="0"/>
              <w:spacing w:line="360" w:lineRule="auto"/>
              <w:ind w:left="0"/>
              <w:jc w:val="center"/>
              <w:textAlignment w:val="center"/>
              <w:rPr>
                <w:rFonts w:hint="eastAsia" w:ascii="仿宋" w:hAnsi="仿宋" w:eastAsia="仿宋" w:cs="仿宋"/>
                <w:color w:val="000000"/>
                <w:sz w:val="21"/>
                <w:szCs w:val="21"/>
              </w:rPr>
            </w:pPr>
            <w:r>
              <w:rPr>
                <w:rFonts w:hint="eastAsia" w:ascii="仿宋" w:hAnsi="仿宋" w:eastAsia="仿宋" w:cs="仿宋"/>
                <w:color w:val="000000"/>
                <w:spacing w:val="4"/>
                <w:kern w:val="0"/>
                <w:sz w:val="21"/>
                <w:szCs w:val="21"/>
                <w:lang w:bidi="ar"/>
              </w:rPr>
              <w:t>1</w:t>
            </w:r>
          </w:p>
        </w:tc>
        <w:tc>
          <w:tcPr>
            <w:tcW w:w="667" w:type="dxa"/>
            <w:tcBorders>
              <w:top w:val="single" w:color="000000" w:sz="4" w:space="0"/>
              <w:left w:val="single" w:color="000000" w:sz="4" w:space="0"/>
              <w:bottom w:val="single" w:color="000000" w:sz="4" w:space="0"/>
              <w:right w:val="single" w:color="000000" w:sz="4" w:space="0"/>
            </w:tcBorders>
            <w:noWrap/>
            <w:vAlign w:val="center"/>
          </w:tcPr>
          <w:p w14:paraId="0597045B">
            <w:pPr>
              <w:pageBreakBefore w:val="0"/>
              <w:widowControl/>
              <w:kinsoku/>
              <w:overflowPunct/>
              <w:topLinePunct w:val="0"/>
              <w:autoSpaceDE/>
              <w:autoSpaceDN/>
              <w:bidi w:val="0"/>
              <w:snapToGrid w:val="0"/>
              <w:spacing w:line="360" w:lineRule="auto"/>
              <w:ind w:left="0"/>
              <w:jc w:val="center"/>
              <w:textAlignment w:val="center"/>
              <w:rPr>
                <w:rFonts w:hint="eastAsia" w:ascii="仿宋" w:hAnsi="仿宋" w:eastAsia="仿宋" w:cs="仿宋"/>
                <w:color w:val="000000"/>
                <w:sz w:val="21"/>
                <w:szCs w:val="21"/>
              </w:rPr>
            </w:pPr>
            <w:r>
              <w:rPr>
                <w:rFonts w:hint="eastAsia" w:ascii="仿宋" w:hAnsi="仿宋" w:eastAsia="仿宋" w:cs="仿宋"/>
                <w:color w:val="000000"/>
                <w:spacing w:val="4"/>
                <w:kern w:val="0"/>
                <w:sz w:val="21"/>
                <w:szCs w:val="21"/>
                <w:lang w:bidi="ar"/>
              </w:rPr>
              <w:t>项</w:t>
            </w:r>
          </w:p>
        </w:tc>
      </w:tr>
    </w:tbl>
    <w:p w14:paraId="31062603">
      <w:pPr>
        <w:adjustRightInd w:val="0"/>
        <w:spacing w:line="600" w:lineRule="exact"/>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63"/>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381ADA"/>
    <w:rsid w:val="0F615EBD"/>
    <w:rsid w:val="28B2349E"/>
    <w:rsid w:val="2A381ADA"/>
    <w:rsid w:val="2FA52627"/>
    <w:rsid w:val="5F03100E"/>
    <w:rsid w:val="67512C78"/>
    <w:rsid w:val="7EC02D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iPriority="39"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4"/>
    <w:qFormat/>
    <w:uiPriority w:val="0"/>
    <w:pPr>
      <w:ind w:firstLine="420" w:firstLineChars="100"/>
    </w:pPr>
  </w:style>
  <w:style w:type="paragraph" w:styleId="3">
    <w:name w:val="Body Text"/>
    <w:basedOn w:val="1"/>
    <w:next w:val="2"/>
    <w:qFormat/>
    <w:uiPriority w:val="1"/>
    <w:pPr>
      <w:spacing w:before="4"/>
    </w:pPr>
    <w:rPr>
      <w:rFonts w:ascii="Microsoft JhengHei" w:hAnsi="Microsoft JhengHei" w:eastAsia="Microsoft JhengHei" w:cs="Microsoft JhengHei"/>
      <w:b/>
      <w:bCs/>
      <w:sz w:val="24"/>
      <w:lang w:val="zh-CN" w:bidi="zh-CN"/>
    </w:rPr>
  </w:style>
  <w:style w:type="paragraph" w:styleId="4">
    <w:name w:val="toc 6"/>
    <w:basedOn w:val="1"/>
    <w:next w:val="1"/>
    <w:unhideWhenUsed/>
    <w:qFormat/>
    <w:uiPriority w:val="39"/>
    <w:pPr>
      <w:ind w:left="1200"/>
    </w:pPr>
    <w:rPr>
      <w:rFonts w:ascii="等线" w:eastAsia="等线"/>
      <w:sz w:val="18"/>
      <w:szCs w:val="18"/>
    </w:rPr>
  </w:style>
  <w:style w:type="paragraph" w:customStyle="1" w:styleId="7">
    <w:name w:val="Table Text"/>
    <w:basedOn w:val="1"/>
    <w:semiHidden/>
    <w:qFormat/>
    <w:uiPriority w:val="0"/>
    <w:rPr>
      <w:rFonts w:ascii="宋体" w:hAnsi="宋体" w:eastAsia="宋体" w:cs="宋体"/>
      <w:sz w:val="28"/>
      <w:szCs w:val="28"/>
      <w:lang w:val="en-US" w:eastAsia="en-US" w:bidi="ar-SA"/>
    </w:rPr>
  </w:style>
  <w:style w:type="table" w:customStyle="1" w:styleId="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3132</Words>
  <Characters>3300</Characters>
  <Lines>0</Lines>
  <Paragraphs>0</Paragraphs>
  <TotalTime>0</TotalTime>
  <ScaleCrop>false</ScaleCrop>
  <LinksUpToDate>false</LinksUpToDate>
  <CharactersWithSpaces>3400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2025-10-29T03:20:00Z</dcterms:created>
  <dc:creator>administrator</dc:creator>
  <cp:lastModifiedBy>administrator</cp:lastModifiedBy>
  <dcterms:modified xsi:type="dcterms:W3CDTF">2025-11-13T02:00:08Z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9AEA374A4C5A478A88C60F616AD1770E_11</vt:lpwstr>
  </property>
  <property fmtid="{D5CDD505-2E9C-101B-9397-08002B2CF9AE}" pid="4" name="KSOTemplateDocerSaveRecord">
    <vt:lpwstr>eyJoZGlkIjoiY2RhMmQ2NWIyYTU0MjQ5YzlmNTRkYzdjMGJkYzgxNDciLCJ1c2VySWQiOiI0NDQ5OTk1MDAifQ==</vt:lpwstr>
  </property>
</Properties>
</file>